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024" w:rsidRPr="000413E2" w:rsidRDefault="00025024" w:rsidP="000413E2">
      <w:pPr>
        <w:rPr>
          <w:rFonts w:ascii="Times New Roman" w:hAnsi="Times New Roman" w:cs="Times New Roman"/>
        </w:rPr>
      </w:pPr>
      <w:bookmarkStart w:id="0" w:name="_GoBack"/>
      <w:bookmarkEnd w:id="0"/>
    </w:p>
    <w:p w:rsidR="007A4070" w:rsidRPr="000413E2" w:rsidRDefault="007A4070" w:rsidP="000413E2"/>
    <w:p w:rsidR="007A4070" w:rsidRPr="000413E2" w:rsidRDefault="00025024" w:rsidP="000413E2">
      <w:pPr>
        <w:pStyle w:val="DecHCase"/>
      </w:pPr>
      <w:r w:rsidRPr="000413E2">
        <w:t>PREMIÈRE SECTION</w:t>
      </w:r>
    </w:p>
    <w:p w:rsidR="007A4070" w:rsidRPr="000413E2" w:rsidRDefault="007A4070" w:rsidP="000413E2">
      <w:pPr>
        <w:pStyle w:val="JuTitle"/>
      </w:pPr>
      <w:r w:rsidRPr="000413E2">
        <w:t xml:space="preserve">AFFAIRE </w:t>
      </w:r>
      <w:r w:rsidR="00025024" w:rsidRPr="000413E2">
        <w:t>A.V. c. ITALIE</w:t>
      </w:r>
    </w:p>
    <w:p w:rsidR="007A4070" w:rsidRPr="000413E2" w:rsidRDefault="007A4070" w:rsidP="000413E2">
      <w:pPr>
        <w:pStyle w:val="ECHRCoverTitle4"/>
      </w:pPr>
      <w:r w:rsidRPr="000413E2">
        <w:t>(</w:t>
      </w:r>
      <w:r w:rsidR="00025024" w:rsidRPr="000413E2">
        <w:t>Requête n</w:t>
      </w:r>
      <w:r w:rsidR="00025024" w:rsidRPr="000413E2">
        <w:rPr>
          <w:vertAlign w:val="superscript"/>
        </w:rPr>
        <w:t>o</w:t>
      </w:r>
      <w:r w:rsidRPr="000413E2">
        <w:t xml:space="preserve"> </w:t>
      </w:r>
      <w:r w:rsidR="00025024" w:rsidRPr="000413E2">
        <w:t>36936/18</w:t>
      </w:r>
      <w:r w:rsidRPr="000413E2">
        <w:t>)</w:t>
      </w:r>
    </w:p>
    <w:p w:rsidR="007A4070" w:rsidRPr="000413E2" w:rsidRDefault="007A4070" w:rsidP="000413E2">
      <w:pPr>
        <w:pStyle w:val="DecHCase"/>
      </w:pPr>
    </w:p>
    <w:p w:rsidR="007A4070" w:rsidRPr="000413E2" w:rsidRDefault="007A4070" w:rsidP="000413E2">
      <w:pPr>
        <w:pStyle w:val="DecHCase"/>
      </w:pPr>
    </w:p>
    <w:p w:rsidR="007A4070" w:rsidRPr="000413E2" w:rsidRDefault="007A4070" w:rsidP="000413E2">
      <w:pPr>
        <w:pStyle w:val="DecHCase"/>
      </w:pPr>
    </w:p>
    <w:p w:rsidR="007A4070" w:rsidRPr="000413E2" w:rsidRDefault="007A4070" w:rsidP="000413E2">
      <w:pPr>
        <w:pStyle w:val="DecHCase"/>
      </w:pPr>
    </w:p>
    <w:p w:rsidR="007A4070" w:rsidRPr="000413E2" w:rsidRDefault="007A4070" w:rsidP="000413E2">
      <w:pPr>
        <w:pStyle w:val="DecHCase"/>
      </w:pPr>
    </w:p>
    <w:p w:rsidR="007A4070" w:rsidRPr="000413E2" w:rsidRDefault="007A4070" w:rsidP="000413E2">
      <w:pPr>
        <w:pStyle w:val="DecHCase"/>
      </w:pPr>
    </w:p>
    <w:p w:rsidR="007A4070" w:rsidRPr="000413E2" w:rsidRDefault="007A4070" w:rsidP="000413E2">
      <w:pPr>
        <w:pStyle w:val="DecHCase"/>
      </w:pPr>
      <w:r w:rsidRPr="000413E2">
        <w:t>ARRÊT</w:t>
      </w:r>
      <w:r w:rsidRPr="000413E2">
        <w:br/>
      </w:r>
    </w:p>
    <w:p w:rsidR="007A4070" w:rsidRPr="000413E2" w:rsidRDefault="007A4070" w:rsidP="000413E2">
      <w:pPr>
        <w:pStyle w:val="DecHCase"/>
      </w:pPr>
      <w:r w:rsidRPr="000413E2">
        <w:t>STRASBOURG</w:t>
      </w:r>
    </w:p>
    <w:p w:rsidR="007A4070" w:rsidRPr="000413E2" w:rsidRDefault="00025024" w:rsidP="000413E2">
      <w:pPr>
        <w:pStyle w:val="DecHCase"/>
      </w:pPr>
      <w:r w:rsidRPr="000413E2">
        <w:t>10 décembre 2020</w:t>
      </w:r>
    </w:p>
    <w:p w:rsidR="007A4070" w:rsidRPr="000413E2" w:rsidRDefault="007A4070" w:rsidP="000413E2">
      <w:pPr>
        <w:pStyle w:val="DecHCase"/>
      </w:pPr>
    </w:p>
    <w:p w:rsidR="00516B59" w:rsidRPr="000413E2" w:rsidRDefault="007A4070" w:rsidP="000413E2">
      <w:pPr>
        <w:rPr>
          <w:rFonts w:ascii="Times New Roman" w:hAnsi="Times New Roman" w:cs="Times New Roman"/>
          <w:i/>
          <w:sz w:val="22"/>
        </w:rPr>
      </w:pPr>
      <w:r w:rsidRPr="000413E2">
        <w:rPr>
          <w:i/>
          <w:sz w:val="22"/>
        </w:rPr>
        <w:t xml:space="preserve">Cet arrêt </w:t>
      </w:r>
      <w:r w:rsidR="00025024" w:rsidRPr="000413E2">
        <w:rPr>
          <w:i/>
          <w:sz w:val="22"/>
        </w:rPr>
        <w:t>est définitif</w:t>
      </w:r>
      <w:r w:rsidRPr="000413E2">
        <w:rPr>
          <w:i/>
          <w:sz w:val="22"/>
        </w:rPr>
        <w:t>. Il peut subir des retouches de fo</w:t>
      </w:r>
      <w:r w:rsidR="00516B59" w:rsidRPr="000413E2">
        <w:rPr>
          <w:rFonts w:ascii="Times New Roman" w:hAnsi="Times New Roman" w:cs="Times New Roman"/>
          <w:i/>
          <w:sz w:val="22"/>
        </w:rPr>
        <w:t>rme.</w:t>
      </w:r>
    </w:p>
    <w:p w:rsidR="00516B59" w:rsidRPr="000413E2" w:rsidRDefault="00516B59" w:rsidP="000413E2">
      <w:pPr>
        <w:ind w:left="720"/>
        <w:rPr>
          <w:rFonts w:ascii="Times New Roman" w:hAnsi="Times New Roman" w:cs="Times New Roman"/>
          <w:sz w:val="22"/>
        </w:rPr>
        <w:sectPr w:rsidR="00516B59" w:rsidRPr="000413E2" w:rsidSect="00902601">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004344E6" w:rsidRPr="000413E2" w:rsidRDefault="004344E6" w:rsidP="000413E2">
      <w:pPr>
        <w:pStyle w:val="JuCase"/>
      </w:pPr>
      <w:r w:rsidRPr="000413E2">
        <w:lastRenderedPageBreak/>
        <w:t>En l</w:t>
      </w:r>
      <w:r w:rsidR="000413E2" w:rsidRPr="000413E2">
        <w:t>’</w:t>
      </w:r>
      <w:r w:rsidRPr="000413E2">
        <w:t xml:space="preserve">affaire </w:t>
      </w:r>
      <w:r w:rsidR="00025024" w:rsidRPr="000413E2">
        <w:t>A.V. c. Italie</w:t>
      </w:r>
      <w:r w:rsidRPr="000413E2">
        <w:t>,</w:t>
      </w:r>
    </w:p>
    <w:p w:rsidR="004344E6" w:rsidRPr="000413E2" w:rsidRDefault="004344E6" w:rsidP="000413E2">
      <w:pPr>
        <w:pStyle w:val="JuPara"/>
      </w:pPr>
      <w:r w:rsidRPr="000413E2">
        <w:t>La Cour européenne des droits de l</w:t>
      </w:r>
      <w:r w:rsidR="000413E2" w:rsidRPr="000413E2">
        <w:t>’</w:t>
      </w:r>
      <w:r w:rsidRPr="000413E2">
        <w:t>homme (</w:t>
      </w:r>
      <w:r w:rsidR="00025024" w:rsidRPr="000413E2">
        <w:t>première section</w:t>
      </w:r>
      <w:r w:rsidRPr="000413E2">
        <w:t xml:space="preserve">), siégeant en </w:t>
      </w:r>
      <w:r w:rsidR="00025024" w:rsidRPr="000413E2">
        <w:rPr>
          <w:color w:val="000000"/>
        </w:rPr>
        <w:t xml:space="preserve">un </w:t>
      </w:r>
      <w:r w:rsidR="00025024" w:rsidRPr="000413E2">
        <w:t>comité composé</w:t>
      </w:r>
      <w:r w:rsidRPr="000413E2">
        <w:t xml:space="preserve"> de :</w:t>
      </w:r>
    </w:p>
    <w:p w:rsidR="004344E6" w:rsidRPr="000413E2" w:rsidRDefault="0018370B" w:rsidP="000413E2">
      <w:pPr>
        <w:pStyle w:val="JuJudges"/>
      </w:pPr>
      <w:r w:rsidRPr="000413E2">
        <w:tab/>
      </w:r>
      <w:r w:rsidRPr="000413E2">
        <w:rPr>
          <w:lang w:val="it-IT"/>
        </w:rPr>
        <w:t>Alena Poláčková,</w:t>
      </w:r>
      <w:r w:rsidRPr="000413E2">
        <w:rPr>
          <w:i/>
          <w:lang w:val="it-IT"/>
        </w:rPr>
        <w:t xml:space="preserve"> présidente,</w:t>
      </w:r>
      <w:r w:rsidR="000413E2" w:rsidRPr="000413E2">
        <w:rPr>
          <w:i/>
          <w:lang w:val="it-IT"/>
        </w:rPr>
        <w:br/>
      </w:r>
      <w:r w:rsidRPr="000413E2">
        <w:rPr>
          <w:lang w:val="it-IT"/>
        </w:rPr>
        <w:tab/>
        <w:t>Gilberto Felici,</w:t>
      </w:r>
      <w:r w:rsidR="000413E2" w:rsidRPr="000413E2">
        <w:rPr>
          <w:lang w:val="it-IT"/>
        </w:rPr>
        <w:br/>
      </w:r>
      <w:r w:rsidRPr="000413E2">
        <w:rPr>
          <w:lang w:val="it-IT"/>
        </w:rPr>
        <w:tab/>
        <w:t>Raffaele Sabato,</w:t>
      </w:r>
      <w:r w:rsidRPr="000413E2">
        <w:rPr>
          <w:i/>
          <w:lang w:val="it-IT"/>
        </w:rPr>
        <w:t xml:space="preserve"> juges,</w:t>
      </w:r>
      <w:r w:rsidR="000413E2" w:rsidRPr="000413E2">
        <w:rPr>
          <w:i/>
          <w:lang w:val="it-IT"/>
        </w:rPr>
        <w:br/>
      </w:r>
      <w:r w:rsidR="004344E6" w:rsidRPr="000413E2">
        <w:t xml:space="preserve">et de </w:t>
      </w:r>
      <w:r w:rsidR="00025024" w:rsidRPr="000413E2">
        <w:t>Renata Degener</w:t>
      </w:r>
      <w:r w:rsidR="004344E6" w:rsidRPr="000413E2">
        <w:t xml:space="preserve">, </w:t>
      </w:r>
      <w:r w:rsidR="00025024" w:rsidRPr="000413E2">
        <w:rPr>
          <w:i/>
        </w:rPr>
        <w:t>greffière adjointe</w:t>
      </w:r>
      <w:r w:rsidR="00025024" w:rsidRPr="000413E2">
        <w:rPr>
          <w:iCs/>
        </w:rPr>
        <w:t xml:space="preserve"> </w:t>
      </w:r>
      <w:r w:rsidR="00025024" w:rsidRPr="000413E2">
        <w:rPr>
          <w:i/>
          <w:iCs/>
        </w:rPr>
        <w:t>d</w:t>
      </w:r>
      <w:r w:rsidR="00025024" w:rsidRPr="000413E2">
        <w:rPr>
          <w:i/>
        </w:rPr>
        <w:t>e section</w:t>
      </w:r>
      <w:r w:rsidR="004344E6" w:rsidRPr="000413E2">
        <w:t>,</w:t>
      </w:r>
    </w:p>
    <w:p w:rsidR="00025024" w:rsidRPr="000413E2" w:rsidRDefault="00025024" w:rsidP="000413E2">
      <w:pPr>
        <w:pStyle w:val="JuPara"/>
      </w:pPr>
      <w:bookmarkStart w:id="1" w:name="ITMARKHavingStart"/>
      <w:bookmarkEnd w:id="1"/>
      <w:r w:rsidRPr="000413E2">
        <w:t>Vu :</w:t>
      </w:r>
    </w:p>
    <w:p w:rsidR="00025024" w:rsidRPr="000413E2" w:rsidRDefault="00025024" w:rsidP="000413E2">
      <w:pPr>
        <w:pStyle w:val="JuPara"/>
      </w:pPr>
      <w:r w:rsidRPr="000413E2">
        <w:t>la requête (n</w:t>
      </w:r>
      <w:r w:rsidRPr="000413E2">
        <w:rPr>
          <w:vertAlign w:val="superscript"/>
        </w:rPr>
        <w:t>o</w:t>
      </w:r>
      <w:r w:rsidRPr="000413E2">
        <w:t> 36936/18) dirigée contre la République italienne et dont u</w:t>
      </w:r>
      <w:r w:rsidR="00274386" w:rsidRPr="000413E2">
        <w:t>n ressortissant de cet État, M. A.V.</w:t>
      </w:r>
      <w:r w:rsidRPr="000413E2">
        <w:t xml:space="preserve"> (« le requérant ») a </w:t>
      </w:r>
      <w:bookmarkStart w:id="2" w:name="_Hlk36124016"/>
      <w:r w:rsidRPr="000413E2">
        <w:t>saisi la Cour en vertu de l</w:t>
      </w:r>
      <w:r w:rsidR="000413E2" w:rsidRPr="000413E2">
        <w:t>’</w:t>
      </w:r>
      <w:r w:rsidRPr="000413E2">
        <w:t>article 34 de la Convention de sauvegarde des droits de l</w:t>
      </w:r>
      <w:r w:rsidR="000413E2" w:rsidRPr="000413E2">
        <w:t>’</w:t>
      </w:r>
      <w:r w:rsidRPr="000413E2">
        <w:t>homme et des libertés fondamentales (« la Convention »)</w:t>
      </w:r>
      <w:bookmarkEnd w:id="2"/>
      <w:r w:rsidRPr="000413E2">
        <w:t xml:space="preserve"> le 27 juillet 2018,</w:t>
      </w:r>
    </w:p>
    <w:p w:rsidR="00025024" w:rsidRPr="000413E2" w:rsidRDefault="00025024" w:rsidP="000413E2">
      <w:pPr>
        <w:pStyle w:val="JuPara"/>
      </w:pPr>
      <w:r w:rsidRPr="000413E2">
        <w:t>la décision de porter la requête à la connaissance du gouvernement italien le 29 novembre 2018,</w:t>
      </w:r>
    </w:p>
    <w:p w:rsidR="00025024" w:rsidRPr="000413E2" w:rsidRDefault="00025024" w:rsidP="000413E2">
      <w:pPr>
        <w:pStyle w:val="JuPara"/>
      </w:pPr>
      <w:r w:rsidRPr="000413E2">
        <w:t>les observations des parties,</w:t>
      </w:r>
    </w:p>
    <w:p w:rsidR="00025024" w:rsidRPr="000413E2" w:rsidRDefault="00025024" w:rsidP="000413E2">
      <w:pPr>
        <w:pStyle w:val="JuPara"/>
      </w:pPr>
      <w:r w:rsidRPr="000413E2">
        <w:t>la décision par laquelle la Cour a rejeté l</w:t>
      </w:r>
      <w:r w:rsidR="000413E2" w:rsidRPr="000413E2">
        <w:t>’</w:t>
      </w:r>
      <w:r w:rsidRPr="000413E2">
        <w:t>opposition du Gouvernement à l</w:t>
      </w:r>
      <w:r w:rsidR="000413E2" w:rsidRPr="000413E2">
        <w:t>’</w:t>
      </w:r>
      <w:r w:rsidRPr="000413E2">
        <w:t>examen de la requête par un comité,</w:t>
      </w:r>
    </w:p>
    <w:p w:rsidR="004344E6" w:rsidRPr="000413E2" w:rsidRDefault="004344E6" w:rsidP="000413E2">
      <w:pPr>
        <w:pStyle w:val="JuPara"/>
      </w:pPr>
      <w:r w:rsidRPr="000413E2">
        <w:t xml:space="preserve">Après en avoir délibéré en chambre du conseil le </w:t>
      </w:r>
      <w:r w:rsidR="00025024" w:rsidRPr="000413E2">
        <w:t>17 novembre 2020</w:t>
      </w:r>
      <w:r w:rsidRPr="000413E2">
        <w:t>,</w:t>
      </w:r>
    </w:p>
    <w:p w:rsidR="00876F03" w:rsidRPr="000413E2" w:rsidRDefault="004344E6" w:rsidP="000413E2">
      <w:pPr>
        <w:pStyle w:val="JuPara"/>
      </w:pPr>
      <w:r w:rsidRPr="000413E2">
        <w:t>Rend l</w:t>
      </w:r>
      <w:r w:rsidR="000413E2" w:rsidRPr="000413E2">
        <w:t>’</w:t>
      </w:r>
      <w:r w:rsidRPr="000413E2">
        <w:t>arrêt que voici</w:t>
      </w:r>
      <w:r w:rsidR="00876F03" w:rsidRPr="000413E2">
        <w:t>, adopté à cette date :</w:t>
      </w:r>
    </w:p>
    <w:p w:rsidR="00025024" w:rsidRPr="000413E2" w:rsidRDefault="00025024" w:rsidP="000413E2">
      <w:pPr>
        <w:pStyle w:val="JuHHead"/>
        <w:jc w:val="both"/>
      </w:pPr>
      <w:r w:rsidRPr="000413E2">
        <w:t>INTRODUCTION</w:t>
      </w:r>
    </w:p>
    <w:p w:rsidR="00025024" w:rsidRPr="000413E2" w:rsidRDefault="001B4EF4" w:rsidP="000413E2">
      <w:pPr>
        <w:pStyle w:val="JuPara"/>
      </w:pPr>
      <w:r w:rsidRPr="000413E2">
        <w:rPr>
          <w:rFonts w:ascii="Times New Roman" w:hAnsi="Times New Roman" w:cs="Times New Roman"/>
          <w:color w:val="000000"/>
        </w:rPr>
        <w:fldChar w:fldCharType="begin"/>
      </w:r>
      <w:r w:rsidRPr="000413E2">
        <w:rPr>
          <w:rFonts w:ascii="Times New Roman" w:hAnsi="Times New Roman" w:cs="Times New Roman"/>
          <w:color w:val="000000"/>
        </w:rPr>
        <w:instrText xml:space="preserve"> SEQ level0 \*arabic </w:instrText>
      </w:r>
      <w:r w:rsidRPr="000413E2">
        <w:rPr>
          <w:rFonts w:ascii="Times New Roman" w:hAnsi="Times New Roman" w:cs="Times New Roman"/>
          <w:color w:val="000000"/>
        </w:rPr>
        <w:fldChar w:fldCharType="separate"/>
      </w:r>
      <w:r w:rsidR="000413E2" w:rsidRPr="000413E2">
        <w:rPr>
          <w:rFonts w:ascii="Times New Roman" w:hAnsi="Times New Roman" w:cs="Times New Roman"/>
          <w:noProof/>
          <w:color w:val="000000"/>
        </w:rPr>
        <w:t>1</w:t>
      </w:r>
      <w:r w:rsidRPr="000413E2">
        <w:rPr>
          <w:rFonts w:ascii="Times New Roman" w:hAnsi="Times New Roman" w:cs="Times New Roman"/>
          <w:color w:val="000000"/>
        </w:rPr>
        <w:fldChar w:fldCharType="end"/>
      </w:r>
      <w:r w:rsidRPr="000413E2">
        <w:rPr>
          <w:rFonts w:ascii="Times New Roman" w:hAnsi="Times New Roman" w:cs="Times New Roman"/>
          <w:color w:val="000000"/>
        </w:rPr>
        <w:t>.  </w:t>
      </w:r>
      <w:r w:rsidR="00025024" w:rsidRPr="000413E2">
        <w:rPr>
          <w:rFonts w:ascii="Times New Roman" w:hAnsi="Times New Roman" w:cs="Times New Roman"/>
          <w:color w:val="000000"/>
        </w:rPr>
        <w:t>La requête concerne la violation alléguée du droit au respect de la vie familiale du requérant</w:t>
      </w:r>
      <w:r w:rsidR="00025024" w:rsidRPr="000413E2">
        <w:rPr>
          <w:rFonts w:ascii="Times New Roman" w:hAnsi="Times New Roman" w:cs="Times New Roman"/>
          <w:bCs/>
          <w:color w:val="000000"/>
        </w:rPr>
        <w:t xml:space="preserve"> en raison de l</w:t>
      </w:r>
      <w:r w:rsidR="000413E2" w:rsidRPr="000413E2">
        <w:rPr>
          <w:rFonts w:ascii="Times New Roman" w:hAnsi="Times New Roman" w:cs="Times New Roman"/>
          <w:bCs/>
          <w:color w:val="000000"/>
        </w:rPr>
        <w:t>’</w:t>
      </w:r>
      <w:r w:rsidR="00025024" w:rsidRPr="000413E2">
        <w:rPr>
          <w:rFonts w:ascii="Times New Roman" w:hAnsi="Times New Roman" w:cs="Times New Roman"/>
          <w:bCs/>
          <w:color w:val="000000"/>
        </w:rPr>
        <w:t>impossibilité pour ce dernier d</w:t>
      </w:r>
      <w:r w:rsidR="000413E2" w:rsidRPr="000413E2">
        <w:rPr>
          <w:rFonts w:ascii="Times New Roman" w:hAnsi="Times New Roman" w:cs="Times New Roman"/>
          <w:bCs/>
          <w:color w:val="000000"/>
        </w:rPr>
        <w:t>’</w:t>
      </w:r>
      <w:r w:rsidR="00025024" w:rsidRPr="000413E2">
        <w:rPr>
          <w:rFonts w:ascii="Times New Roman" w:hAnsi="Times New Roman" w:cs="Times New Roman"/>
          <w:bCs/>
          <w:color w:val="000000"/>
        </w:rPr>
        <w:t>exercer son droit de visite dans les conditions fixées par les tribunaux</w:t>
      </w:r>
      <w:r w:rsidR="00025024" w:rsidRPr="000413E2">
        <w:rPr>
          <w:rFonts w:ascii="Times New Roman" w:hAnsi="Times New Roman" w:cs="Times New Roman"/>
          <w:color w:val="000000"/>
        </w:rPr>
        <w:t>.</w:t>
      </w:r>
    </w:p>
    <w:p w:rsidR="00025024" w:rsidRPr="000413E2" w:rsidRDefault="00025024" w:rsidP="000413E2">
      <w:pPr>
        <w:pStyle w:val="JuHHead"/>
        <w:jc w:val="both"/>
      </w:pPr>
      <w:bookmarkStart w:id="3" w:name="_Hlk36126677"/>
      <w:r w:rsidRPr="000413E2">
        <w:t>EN FAIT</w:t>
      </w:r>
    </w:p>
    <w:bookmarkEnd w:id="3"/>
    <w:p w:rsidR="00025024" w:rsidRPr="000413E2" w:rsidRDefault="00025024" w:rsidP="000413E2">
      <w:pPr>
        <w:pStyle w:val="JuPara"/>
      </w:pPr>
      <w:r w:rsidRPr="000413E2">
        <w:fldChar w:fldCharType="begin"/>
      </w:r>
      <w:r w:rsidRPr="000413E2">
        <w:instrText xml:space="preserve"> SEQ level0 \*arabic </w:instrText>
      </w:r>
      <w:r w:rsidRPr="000413E2">
        <w:fldChar w:fldCharType="separate"/>
      </w:r>
      <w:r w:rsidR="000413E2" w:rsidRPr="000413E2">
        <w:rPr>
          <w:noProof/>
        </w:rPr>
        <w:t>2</w:t>
      </w:r>
      <w:r w:rsidRPr="000413E2">
        <w:fldChar w:fldCharType="end"/>
      </w:r>
      <w:r w:rsidRPr="000413E2">
        <w:t>.  Le requérant est né en 1977 et réside à Canale Monterano. Il a été représenté par M</w:t>
      </w:r>
      <w:r w:rsidRPr="000413E2">
        <w:rPr>
          <w:vertAlign w:val="superscript"/>
        </w:rPr>
        <w:t>e</w:t>
      </w:r>
      <w:r w:rsidRPr="000413E2">
        <w:t> G. Menicucci, avocate.</w:t>
      </w:r>
    </w:p>
    <w:p w:rsidR="00025024" w:rsidRPr="000413E2" w:rsidRDefault="00025024" w:rsidP="000413E2">
      <w:pPr>
        <w:pStyle w:val="JuPara"/>
        <w:rPr>
          <w:rFonts w:ascii="Times New Roman" w:hAnsi="Times New Roman" w:cs="Times New Roman"/>
          <w:color w:val="000000"/>
        </w:rPr>
      </w:pPr>
      <w:r w:rsidRPr="000413E2">
        <w:fldChar w:fldCharType="begin"/>
      </w:r>
      <w:r w:rsidRPr="000413E2">
        <w:instrText xml:space="preserve"> SEQ level0 \*arabic </w:instrText>
      </w:r>
      <w:r w:rsidRPr="000413E2">
        <w:fldChar w:fldCharType="separate"/>
      </w:r>
      <w:r w:rsidR="000413E2" w:rsidRPr="000413E2">
        <w:rPr>
          <w:noProof/>
        </w:rPr>
        <w:t>3</w:t>
      </w:r>
      <w:r w:rsidRPr="000413E2">
        <w:fldChar w:fldCharType="end"/>
      </w:r>
      <w:r w:rsidRPr="000413E2">
        <w:t>.  </w:t>
      </w:r>
      <w:bookmarkStart w:id="4" w:name="_Hlk36127123"/>
      <w:r w:rsidRPr="000413E2">
        <w:t xml:space="preserve">Le Gouvernement a été représenté par </w:t>
      </w:r>
      <w:r w:rsidRPr="000413E2">
        <w:rPr>
          <w:rFonts w:eastAsia="Times New Roman"/>
        </w:rPr>
        <w:t>son ancien agent</w:t>
      </w:r>
      <w:r w:rsidRPr="000413E2">
        <w:t xml:space="preserve"> à la Cour européenne des droits de l</w:t>
      </w:r>
      <w:r w:rsidR="000413E2" w:rsidRPr="000413E2">
        <w:t>’</w:t>
      </w:r>
      <w:r w:rsidRPr="000413E2">
        <w:t>homme</w:t>
      </w:r>
      <w:r w:rsidRPr="000413E2">
        <w:rPr>
          <w:rFonts w:eastAsia="Times New Roman"/>
        </w:rPr>
        <w:t>, M</w:t>
      </w:r>
      <w:r w:rsidRPr="000413E2">
        <w:rPr>
          <w:rFonts w:eastAsia="Times New Roman"/>
          <w:vertAlign w:val="superscript"/>
        </w:rPr>
        <w:t>me</w:t>
      </w:r>
      <w:r w:rsidRPr="000413E2">
        <w:t> </w:t>
      </w:r>
      <w:r w:rsidRPr="000413E2">
        <w:rPr>
          <w:rFonts w:eastAsia="Times New Roman"/>
        </w:rPr>
        <w:t>E. Spatafora, et son ancien coagent,</w:t>
      </w:r>
      <w:r w:rsidRPr="000413E2">
        <w:t xml:space="preserve"> </w:t>
      </w:r>
      <w:bookmarkStart w:id="5" w:name="_Hlk36127236"/>
      <w:bookmarkEnd w:id="4"/>
      <w:r w:rsidRPr="000413E2">
        <w:rPr>
          <w:rFonts w:ascii="Times New Roman" w:hAnsi="Times New Roman" w:cs="Times New Roman"/>
          <w:color w:val="000000"/>
        </w:rPr>
        <w:t>M</w:t>
      </w:r>
      <w:r w:rsidRPr="000413E2">
        <w:rPr>
          <w:vertAlign w:val="superscript"/>
        </w:rPr>
        <w:t>me</w:t>
      </w:r>
      <w:r w:rsidRPr="000413E2">
        <w:rPr>
          <w:rFonts w:ascii="Times New Roman" w:hAnsi="Times New Roman" w:cs="Times New Roman"/>
          <w:color w:val="000000"/>
        </w:rPr>
        <w:t> M. G. Civinini.</w:t>
      </w:r>
    </w:p>
    <w:p w:rsidR="00025024" w:rsidRPr="000413E2" w:rsidRDefault="00025024" w:rsidP="000413E2">
      <w:pPr>
        <w:pStyle w:val="JuPara"/>
      </w:pPr>
      <w:r w:rsidRPr="000413E2">
        <w:fldChar w:fldCharType="begin"/>
      </w:r>
      <w:r w:rsidRPr="000413E2">
        <w:instrText xml:space="preserve"> SEQ level0 \*arabic </w:instrText>
      </w:r>
      <w:r w:rsidRPr="000413E2">
        <w:fldChar w:fldCharType="separate"/>
      </w:r>
      <w:r w:rsidR="000413E2" w:rsidRPr="000413E2">
        <w:rPr>
          <w:noProof/>
        </w:rPr>
        <w:t>4</w:t>
      </w:r>
      <w:r w:rsidRPr="000413E2">
        <w:fldChar w:fldCharType="end"/>
      </w:r>
      <w:r w:rsidRPr="000413E2">
        <w:t>.  De l</w:t>
      </w:r>
      <w:r w:rsidR="000413E2" w:rsidRPr="000413E2">
        <w:t>’</w:t>
      </w:r>
      <w:r w:rsidRPr="000413E2">
        <w:t>union entre le requérant et A.G. naquit un fils, N., le 22 décembre 2008. En mai 2009, le requérant et A.G. se séparèrent.</w:t>
      </w:r>
    </w:p>
    <w:p w:rsidR="00025024" w:rsidRPr="000413E2" w:rsidRDefault="00025024" w:rsidP="000413E2">
      <w:pPr>
        <w:pStyle w:val="JuPara"/>
      </w:pPr>
      <w:r w:rsidRPr="000413E2">
        <w:fldChar w:fldCharType="begin"/>
      </w:r>
      <w:r w:rsidRPr="000413E2">
        <w:instrText xml:space="preserve"> SEQ level0 \*arabic </w:instrText>
      </w:r>
      <w:r w:rsidRPr="000413E2">
        <w:fldChar w:fldCharType="separate"/>
      </w:r>
      <w:r w:rsidR="000413E2" w:rsidRPr="000413E2">
        <w:rPr>
          <w:noProof/>
        </w:rPr>
        <w:t>5</w:t>
      </w:r>
      <w:r w:rsidRPr="000413E2">
        <w:fldChar w:fldCharType="end"/>
      </w:r>
      <w:r w:rsidRPr="000413E2">
        <w:t>.  Le 10 mars 2010, le requérant saisit le tribunal pour enfants de Rome (« le tribunal ») sur le fondement de l</w:t>
      </w:r>
      <w:r w:rsidR="000413E2" w:rsidRPr="000413E2">
        <w:t>’</w:t>
      </w:r>
      <w:r w:rsidRPr="000413E2">
        <w:t xml:space="preserve">article 317 </w:t>
      </w:r>
      <w:r w:rsidRPr="000413E2">
        <w:rPr>
          <w:i/>
        </w:rPr>
        <w:t>bis</w:t>
      </w:r>
      <w:r w:rsidRPr="000413E2">
        <w:t xml:space="preserve"> du code civil. Il se plaignait de difficultés dans l</w:t>
      </w:r>
      <w:r w:rsidR="000413E2" w:rsidRPr="000413E2">
        <w:t>’</w:t>
      </w:r>
      <w:r w:rsidRPr="000413E2">
        <w:t>exercice de son droit de visite. Il demandait, en particulier, la garde partagée de son fils, dont la résidence principale serait fixée chez la mère, la réglementation de son droit de visite (le droit de voir son fils deux après-midi et un samedi ou un dimanche par semaine, 15 jours pendant les vacances d</w:t>
      </w:r>
      <w:r w:rsidR="000413E2" w:rsidRPr="000413E2">
        <w:t>’</w:t>
      </w:r>
      <w:r w:rsidRPr="000413E2">
        <w:t>été et, à partir des deux ans de l</w:t>
      </w:r>
      <w:r w:rsidR="000413E2" w:rsidRPr="000413E2">
        <w:t>’</w:t>
      </w:r>
      <w:r w:rsidRPr="000413E2">
        <w:t>enfant, également un droit de visite et d</w:t>
      </w:r>
      <w:r w:rsidR="000413E2" w:rsidRPr="000413E2">
        <w:t>’</w:t>
      </w:r>
      <w:r w:rsidRPr="000413E2">
        <w:t>hébergement), ainsi que la fixation d</w:t>
      </w:r>
      <w:r w:rsidR="000413E2" w:rsidRPr="000413E2">
        <w:t>’</w:t>
      </w:r>
      <w:r w:rsidRPr="000413E2">
        <w:t>une pension alimentaire à sa charge en faveur de l</w:t>
      </w:r>
      <w:r w:rsidR="000413E2" w:rsidRPr="000413E2">
        <w:t>’</w:t>
      </w:r>
      <w:r w:rsidRPr="000413E2">
        <w:t>enfant.</w:t>
      </w:r>
    </w:p>
    <w:p w:rsidR="00025024" w:rsidRPr="000413E2" w:rsidRDefault="00025024" w:rsidP="000413E2">
      <w:pPr>
        <w:pStyle w:val="JuPara"/>
      </w:pPr>
      <w:r w:rsidRPr="000413E2">
        <w:lastRenderedPageBreak/>
        <w:fldChar w:fldCharType="begin"/>
      </w:r>
      <w:r w:rsidRPr="000413E2">
        <w:instrText xml:space="preserve"> SEQ level0 \*arabic </w:instrText>
      </w:r>
      <w:r w:rsidRPr="000413E2">
        <w:fldChar w:fldCharType="separate"/>
      </w:r>
      <w:r w:rsidR="000413E2" w:rsidRPr="000413E2">
        <w:rPr>
          <w:noProof/>
        </w:rPr>
        <w:t>6</w:t>
      </w:r>
      <w:r w:rsidRPr="000413E2">
        <w:fldChar w:fldCharType="end"/>
      </w:r>
      <w:r w:rsidRPr="000413E2">
        <w:t>.  Par une décision du 12 avril 2010, le tribunal accorda au requérant un droit de visite de deux après-midi par semaine et d</w:t>
      </w:r>
      <w:r w:rsidR="000413E2" w:rsidRPr="000413E2">
        <w:t>’</w:t>
      </w:r>
      <w:r w:rsidRPr="000413E2">
        <w:t>une journée pendant le week-end. Il chargea les services sociaux de la commune de Canale Monterano d</w:t>
      </w:r>
      <w:r w:rsidR="000413E2" w:rsidRPr="000413E2">
        <w:t>’</w:t>
      </w:r>
      <w:r w:rsidRPr="000413E2">
        <w:t>effectuer une enquête sociale sur la famille et de veiller au bon déroulement des rencontres entre le requérant et son fils.</w:t>
      </w:r>
    </w:p>
    <w:p w:rsidR="00025024" w:rsidRPr="000413E2" w:rsidRDefault="00025024" w:rsidP="000413E2">
      <w:pPr>
        <w:pStyle w:val="JuPara"/>
      </w:pPr>
      <w:r w:rsidRPr="000413E2">
        <w:fldChar w:fldCharType="begin"/>
      </w:r>
      <w:r w:rsidRPr="000413E2">
        <w:instrText xml:space="preserve"> SEQ level0 \*arabic </w:instrText>
      </w:r>
      <w:r w:rsidRPr="000413E2">
        <w:fldChar w:fldCharType="separate"/>
      </w:r>
      <w:r w:rsidR="000413E2" w:rsidRPr="000413E2">
        <w:rPr>
          <w:noProof/>
        </w:rPr>
        <w:t>7</w:t>
      </w:r>
      <w:r w:rsidRPr="000413E2">
        <w:fldChar w:fldCharType="end"/>
      </w:r>
      <w:r w:rsidRPr="000413E2">
        <w:t>.  Le 20 juillet 2010, le requérant déposa une plainte pénale, soutenant qu</w:t>
      </w:r>
      <w:r w:rsidR="000413E2" w:rsidRPr="000413E2">
        <w:t>’</w:t>
      </w:r>
      <w:r w:rsidRPr="000413E2">
        <w:t>il n</w:t>
      </w:r>
      <w:r w:rsidR="000413E2" w:rsidRPr="000413E2">
        <w:t>’</w:t>
      </w:r>
      <w:r w:rsidRPr="000413E2">
        <w:t>arrivait pas à exercer son droit de visite.</w:t>
      </w:r>
    </w:p>
    <w:p w:rsidR="00025024" w:rsidRPr="000413E2" w:rsidRDefault="00025024" w:rsidP="000413E2">
      <w:pPr>
        <w:pStyle w:val="JuPara"/>
      </w:pPr>
      <w:r w:rsidRPr="000413E2">
        <w:fldChar w:fldCharType="begin"/>
      </w:r>
      <w:r w:rsidRPr="000413E2">
        <w:instrText xml:space="preserve"> SEQ level0 \*arabic </w:instrText>
      </w:r>
      <w:r w:rsidRPr="000413E2">
        <w:fldChar w:fldCharType="separate"/>
      </w:r>
      <w:r w:rsidR="000413E2" w:rsidRPr="000413E2">
        <w:rPr>
          <w:noProof/>
        </w:rPr>
        <w:t>8</w:t>
      </w:r>
      <w:r w:rsidRPr="000413E2">
        <w:fldChar w:fldCharType="end"/>
      </w:r>
      <w:r w:rsidRPr="000413E2">
        <w:t>.  Un rapport des services sociaux fut déposé au greffe. Selon les services sociaux, la mère de l</w:t>
      </w:r>
      <w:r w:rsidR="000413E2" w:rsidRPr="000413E2">
        <w:t>’</w:t>
      </w:r>
      <w:r w:rsidRPr="000413E2">
        <w:t>enfant avait une attitude d</w:t>
      </w:r>
      <w:r w:rsidR="000413E2" w:rsidRPr="000413E2">
        <w:t>’</w:t>
      </w:r>
      <w:r w:rsidRPr="000413E2">
        <w:t>opposition non justifiée à l</w:t>
      </w:r>
      <w:r w:rsidR="000413E2" w:rsidRPr="000413E2">
        <w:t>’</w:t>
      </w:r>
      <w:r w:rsidRPr="000413E2">
        <w:t>égard des rencontres entre le requérant et l</w:t>
      </w:r>
      <w:r w:rsidR="000413E2" w:rsidRPr="000413E2">
        <w:t>’</w:t>
      </w:r>
      <w:r w:rsidRPr="000413E2">
        <w:t>enfant, alors que ces derniers avaient une relation positive, et elle avait développé un rapport symbiotique avec l</w:t>
      </w:r>
      <w:r w:rsidR="000413E2" w:rsidRPr="000413E2">
        <w:t>’</w:t>
      </w:r>
      <w:r w:rsidRPr="000413E2">
        <w:t>enfant, excluant le requérant de toute décision concernant notamment le choix du pédiatre ou la période des vacances.</w:t>
      </w:r>
    </w:p>
    <w:p w:rsidR="00025024" w:rsidRPr="000413E2" w:rsidRDefault="00025024" w:rsidP="000413E2">
      <w:pPr>
        <w:pStyle w:val="JuPara"/>
      </w:pPr>
      <w:r w:rsidRPr="000413E2">
        <w:fldChar w:fldCharType="begin"/>
      </w:r>
      <w:r w:rsidRPr="000413E2">
        <w:instrText xml:space="preserve"> SEQ level0 \*arabic </w:instrText>
      </w:r>
      <w:r w:rsidRPr="000413E2">
        <w:fldChar w:fldCharType="separate"/>
      </w:r>
      <w:r w:rsidR="000413E2" w:rsidRPr="000413E2">
        <w:rPr>
          <w:noProof/>
        </w:rPr>
        <w:t>9</w:t>
      </w:r>
      <w:r w:rsidRPr="000413E2">
        <w:fldChar w:fldCharType="end"/>
      </w:r>
      <w:r w:rsidRPr="000413E2">
        <w:t>.  Par une décision du 10 août 2010, le tribunal observa que le requérant n</w:t>
      </w:r>
      <w:r w:rsidR="000413E2" w:rsidRPr="000413E2">
        <w:t>’</w:t>
      </w:r>
      <w:r w:rsidRPr="000413E2">
        <w:t>avait pas pu rencontrer son fils selon les modalités qui avaient été établies et prit note du rapport des services sociaux. Il confia la garde de l</w:t>
      </w:r>
      <w:r w:rsidR="000413E2" w:rsidRPr="000413E2">
        <w:t>’</w:t>
      </w:r>
      <w:r w:rsidRPr="000413E2">
        <w:t>enfant aux services sociaux et leur ordonna de prendre les mesures nécessaires pour garantir les rencontres qui ne devaient pas être laissées au choix unilatéral de la mère. Il confirma le placement de l</w:t>
      </w:r>
      <w:r w:rsidR="000413E2" w:rsidRPr="000413E2">
        <w:t>’</w:t>
      </w:r>
      <w:r w:rsidRPr="000413E2">
        <w:t>enfant au domicile de la mère à condition que celle-ci respecte les décisions du tribunal et le droit de visite du père en son absence.</w:t>
      </w:r>
    </w:p>
    <w:p w:rsidR="00025024" w:rsidRPr="000413E2" w:rsidRDefault="00025024" w:rsidP="000413E2">
      <w:pPr>
        <w:pStyle w:val="JuPara"/>
      </w:pPr>
      <w:r w:rsidRPr="000413E2">
        <w:fldChar w:fldCharType="begin"/>
      </w:r>
      <w:r w:rsidRPr="000413E2">
        <w:instrText xml:space="preserve"> SEQ level0 \*arabic </w:instrText>
      </w:r>
      <w:r w:rsidRPr="000413E2">
        <w:fldChar w:fldCharType="separate"/>
      </w:r>
      <w:r w:rsidR="000413E2" w:rsidRPr="000413E2">
        <w:rPr>
          <w:noProof/>
        </w:rPr>
        <w:t>10</w:t>
      </w:r>
      <w:r w:rsidRPr="000413E2">
        <w:fldChar w:fldCharType="end"/>
      </w:r>
      <w:r w:rsidRPr="000413E2">
        <w:t>.  Les visites eurent lieu jusqu</w:t>
      </w:r>
      <w:r w:rsidR="000413E2" w:rsidRPr="000413E2">
        <w:t>’</w:t>
      </w:r>
      <w:r w:rsidRPr="000413E2">
        <w:t>en septembre 2011, grâce à l</w:t>
      </w:r>
      <w:r w:rsidR="000413E2" w:rsidRPr="000413E2">
        <w:t>’</w:t>
      </w:r>
      <w:r w:rsidRPr="000413E2">
        <w:t>activité de soutien des services sociaux.</w:t>
      </w:r>
    </w:p>
    <w:bookmarkStart w:id="6" w:name="P10"/>
    <w:p w:rsidR="00025024" w:rsidRPr="000413E2" w:rsidRDefault="00025024" w:rsidP="000413E2">
      <w:pPr>
        <w:pStyle w:val="JuPara"/>
      </w:pPr>
      <w:r w:rsidRPr="000413E2">
        <w:fldChar w:fldCharType="begin"/>
      </w:r>
      <w:r w:rsidRPr="000413E2">
        <w:instrText xml:space="preserve"> SEQ level0 \*arabic </w:instrText>
      </w:r>
      <w:r w:rsidRPr="000413E2">
        <w:fldChar w:fldCharType="separate"/>
      </w:r>
      <w:r w:rsidR="000413E2" w:rsidRPr="000413E2">
        <w:rPr>
          <w:noProof/>
        </w:rPr>
        <w:t>11</w:t>
      </w:r>
      <w:r w:rsidRPr="000413E2">
        <w:fldChar w:fldCharType="end"/>
      </w:r>
      <w:bookmarkEnd w:id="6"/>
      <w:r w:rsidRPr="000413E2">
        <w:t>.  Le 24 septembre 2011, sans avoir obtenu l</w:t>
      </w:r>
      <w:r w:rsidR="000413E2" w:rsidRPr="000413E2">
        <w:t>’</w:t>
      </w:r>
      <w:r w:rsidRPr="000413E2">
        <w:t>autorisation préalable du tribunal, A.G. déménagea à Acilia, à une centaine de kilomètres du domicile du requérant. À partir de ce moment-là, les contacts entre le requérant et son fils devinrent plus difficiles en raison des 200 kilomètres environ que le requérant devait parcourir pour voir l</w:t>
      </w:r>
      <w:r w:rsidR="000413E2" w:rsidRPr="000413E2">
        <w:t>’</w:t>
      </w:r>
      <w:r w:rsidRPr="000413E2">
        <w:t>enfant sans compter la difficulté à trouver un endroit pour exercer son droit de visite durant la période hivernale.</w:t>
      </w:r>
    </w:p>
    <w:p w:rsidR="00025024" w:rsidRPr="000413E2" w:rsidRDefault="00025024" w:rsidP="000413E2">
      <w:pPr>
        <w:pStyle w:val="JuPara"/>
      </w:pPr>
      <w:r w:rsidRPr="000413E2">
        <w:fldChar w:fldCharType="begin"/>
      </w:r>
      <w:r w:rsidRPr="000413E2">
        <w:instrText xml:space="preserve"> SEQ level0 \*arabic </w:instrText>
      </w:r>
      <w:r w:rsidRPr="000413E2">
        <w:fldChar w:fldCharType="separate"/>
      </w:r>
      <w:r w:rsidR="000413E2" w:rsidRPr="000413E2">
        <w:rPr>
          <w:noProof/>
        </w:rPr>
        <w:t>12</w:t>
      </w:r>
      <w:r w:rsidRPr="000413E2">
        <w:fldChar w:fldCharType="end"/>
      </w:r>
      <w:r w:rsidRPr="000413E2">
        <w:t>.  Selon un rapport des services sociaux du 22 décembre 2011, ce déménagement avait rompu un équilibre qui avait été atteint concernant les rapports entre le requérant et son fils et avait rendu la situation plus tendue.</w:t>
      </w:r>
    </w:p>
    <w:p w:rsidR="00025024" w:rsidRPr="000413E2" w:rsidRDefault="00025024" w:rsidP="000413E2">
      <w:pPr>
        <w:pStyle w:val="JuPara"/>
      </w:pPr>
      <w:r w:rsidRPr="000413E2">
        <w:fldChar w:fldCharType="begin"/>
      </w:r>
      <w:r w:rsidRPr="000413E2">
        <w:instrText xml:space="preserve"> SEQ level0 \*arabic </w:instrText>
      </w:r>
      <w:r w:rsidRPr="000413E2">
        <w:fldChar w:fldCharType="separate"/>
      </w:r>
      <w:r w:rsidR="000413E2" w:rsidRPr="000413E2">
        <w:rPr>
          <w:noProof/>
        </w:rPr>
        <w:t>13</w:t>
      </w:r>
      <w:r w:rsidRPr="000413E2">
        <w:fldChar w:fldCharType="end"/>
      </w:r>
      <w:r w:rsidRPr="000413E2">
        <w:t>.  Les services sociaux estimèrent qu</w:t>
      </w:r>
      <w:r w:rsidR="000413E2" w:rsidRPr="000413E2">
        <w:t>’</w:t>
      </w:r>
      <w:r w:rsidRPr="000413E2">
        <w:t>il était nécessaire, sur la base de la nouvelle organisation établie unilatéralement par la mère, que l</w:t>
      </w:r>
      <w:r w:rsidR="000413E2" w:rsidRPr="000413E2">
        <w:t>’</w:t>
      </w:r>
      <w:r w:rsidRPr="000413E2">
        <w:t>enfant puisse être hébergé chez le requérant pendant les week-ends.</w:t>
      </w:r>
    </w:p>
    <w:p w:rsidR="00025024" w:rsidRPr="000413E2" w:rsidRDefault="00025024" w:rsidP="000413E2">
      <w:pPr>
        <w:pStyle w:val="JuPara"/>
      </w:pPr>
      <w:r w:rsidRPr="000413E2">
        <w:fldChar w:fldCharType="begin"/>
      </w:r>
      <w:r w:rsidRPr="000413E2">
        <w:instrText xml:space="preserve"> SEQ level0 \*arabic </w:instrText>
      </w:r>
      <w:r w:rsidRPr="000413E2">
        <w:fldChar w:fldCharType="separate"/>
      </w:r>
      <w:r w:rsidR="000413E2" w:rsidRPr="000413E2">
        <w:rPr>
          <w:noProof/>
        </w:rPr>
        <w:t>14</w:t>
      </w:r>
      <w:r w:rsidRPr="000413E2">
        <w:fldChar w:fldCharType="end"/>
      </w:r>
      <w:r w:rsidRPr="000413E2">
        <w:t>.  Le 1</w:t>
      </w:r>
      <w:r w:rsidRPr="000413E2">
        <w:rPr>
          <w:vertAlign w:val="superscript"/>
        </w:rPr>
        <w:t>er</w:t>
      </w:r>
      <w:r w:rsidRPr="000413E2">
        <w:t xml:space="preserve"> juin 2012, le requérant déposa plainte contre A.G. pour non-respect des décisions judiciaires, arguant qu</w:t>
      </w:r>
      <w:r w:rsidR="000413E2" w:rsidRPr="000413E2">
        <w:t>’</w:t>
      </w:r>
      <w:r w:rsidRPr="000413E2">
        <w:t>il n</w:t>
      </w:r>
      <w:r w:rsidR="000413E2" w:rsidRPr="000413E2">
        <w:t>’</w:t>
      </w:r>
      <w:r w:rsidRPr="000413E2">
        <w:t>arrivait plus à voir son fils en raison de l</w:t>
      </w:r>
      <w:r w:rsidR="000413E2" w:rsidRPr="000413E2">
        <w:t>’</w:t>
      </w:r>
      <w:r w:rsidRPr="000413E2">
        <w:t>opposition de celle-ci aux rencontres. Une enquête fut ouverte. Par un jugement du 23 avril 2015, A.G. fut acquittée.</w:t>
      </w:r>
    </w:p>
    <w:bookmarkStart w:id="7" w:name="P12"/>
    <w:bookmarkStart w:id="8" w:name="P14"/>
    <w:p w:rsidR="00025024" w:rsidRPr="000413E2" w:rsidRDefault="00025024" w:rsidP="000413E2">
      <w:pPr>
        <w:pStyle w:val="JuPara"/>
      </w:pPr>
      <w:r w:rsidRPr="000413E2">
        <w:fldChar w:fldCharType="begin"/>
      </w:r>
      <w:r w:rsidRPr="000413E2">
        <w:instrText xml:space="preserve"> SEQ level0 \*arabic </w:instrText>
      </w:r>
      <w:r w:rsidRPr="000413E2">
        <w:fldChar w:fldCharType="separate"/>
      </w:r>
      <w:r w:rsidR="000413E2" w:rsidRPr="000413E2">
        <w:rPr>
          <w:noProof/>
        </w:rPr>
        <w:t>15</w:t>
      </w:r>
      <w:r w:rsidRPr="000413E2">
        <w:fldChar w:fldCharType="end"/>
      </w:r>
      <w:bookmarkEnd w:id="7"/>
      <w:bookmarkEnd w:id="8"/>
      <w:r w:rsidRPr="000413E2">
        <w:t>.  Le 2 juin 2012, les services sociaux constatèrent que le droit de visite du requérant n</w:t>
      </w:r>
      <w:r w:rsidR="000413E2" w:rsidRPr="000413E2">
        <w:t>’</w:t>
      </w:r>
      <w:r w:rsidRPr="000413E2">
        <w:t>était pas respecté et demandèrent au tribunal pour enfants de fixer en urgence une audience afin d</w:t>
      </w:r>
      <w:r w:rsidR="000413E2" w:rsidRPr="000413E2">
        <w:t>’</w:t>
      </w:r>
      <w:r w:rsidRPr="000413E2">
        <w:t>ordonner une expertise sur les compétences parentales des deux parents.</w:t>
      </w:r>
    </w:p>
    <w:p w:rsidR="00025024" w:rsidRPr="000413E2" w:rsidRDefault="00025024" w:rsidP="000413E2">
      <w:pPr>
        <w:pStyle w:val="JuPara"/>
      </w:pPr>
      <w:r w:rsidRPr="000413E2">
        <w:lastRenderedPageBreak/>
        <w:fldChar w:fldCharType="begin"/>
      </w:r>
      <w:r w:rsidRPr="000413E2">
        <w:instrText xml:space="preserve"> SEQ level0 \*arabic </w:instrText>
      </w:r>
      <w:r w:rsidRPr="000413E2">
        <w:fldChar w:fldCharType="separate"/>
      </w:r>
      <w:r w:rsidR="000413E2" w:rsidRPr="000413E2">
        <w:rPr>
          <w:noProof/>
        </w:rPr>
        <w:t>16</w:t>
      </w:r>
      <w:r w:rsidRPr="000413E2">
        <w:fldChar w:fldCharType="end"/>
      </w:r>
      <w:r w:rsidRPr="000413E2">
        <w:t>.  Le 24 septembre 2012, le tribunal de Rome, après avoir observé que la mère de l</w:t>
      </w:r>
      <w:r w:rsidR="000413E2" w:rsidRPr="000413E2">
        <w:t>’</w:t>
      </w:r>
      <w:r w:rsidRPr="000413E2">
        <w:t>enfant, nonobstant l</w:t>
      </w:r>
      <w:r w:rsidR="000413E2" w:rsidRPr="000413E2">
        <w:t>’</w:t>
      </w:r>
      <w:r w:rsidRPr="000413E2">
        <w:t>admonition du tribunal, persévérait dans son attitude d</w:t>
      </w:r>
      <w:r w:rsidR="000413E2" w:rsidRPr="000413E2">
        <w:t>’</w:t>
      </w:r>
      <w:r w:rsidRPr="000413E2">
        <w:t>opposition à l</w:t>
      </w:r>
      <w:r w:rsidR="000413E2" w:rsidRPr="000413E2">
        <w:t>’</w:t>
      </w:r>
      <w:r w:rsidRPr="000413E2">
        <w:t>égard des rencontres entre le requérant et l</w:t>
      </w:r>
      <w:r w:rsidR="000413E2" w:rsidRPr="000413E2">
        <w:t>’</w:t>
      </w:r>
      <w:r w:rsidRPr="000413E2">
        <w:t>enfant, décida de révoquer sa précédente décision et de confier la garde de l</w:t>
      </w:r>
      <w:r w:rsidR="000413E2" w:rsidRPr="000413E2">
        <w:t>’</w:t>
      </w:r>
      <w:r w:rsidRPr="000413E2">
        <w:t>enfant aux deux parents. Il fixa la résidence de l</w:t>
      </w:r>
      <w:r w:rsidR="000413E2" w:rsidRPr="000413E2">
        <w:t>’</w:t>
      </w:r>
      <w:r w:rsidRPr="000413E2">
        <w:t>enfant chez la mère. Selon cette décision, le requérant pouvait voir son fils un après-midi par semaine et un week-end sur deux, deux semaines pendant les vacances d</w:t>
      </w:r>
      <w:r w:rsidR="000413E2" w:rsidRPr="000413E2">
        <w:t>’</w:t>
      </w:r>
      <w:r w:rsidRPr="000413E2">
        <w:t>été, ainsi que les vacances de Noël et de Pâques une année sur deux. Le tribunal rappela que, en cas de non-respect de ladite décision, il pourrait prendre une décision différente concernant la garde de l</w:t>
      </w:r>
      <w:r w:rsidR="000413E2" w:rsidRPr="000413E2">
        <w:t>’</w:t>
      </w:r>
      <w:r w:rsidRPr="000413E2">
        <w:t>enfant.</w:t>
      </w:r>
    </w:p>
    <w:p w:rsidR="00025024" w:rsidRPr="000413E2" w:rsidRDefault="00025024" w:rsidP="000413E2">
      <w:pPr>
        <w:pStyle w:val="JuPara"/>
      </w:pPr>
      <w:r w:rsidRPr="000413E2">
        <w:fldChar w:fldCharType="begin"/>
      </w:r>
      <w:r w:rsidRPr="000413E2">
        <w:instrText xml:space="preserve"> SEQ level0 \*arabic </w:instrText>
      </w:r>
      <w:r w:rsidRPr="000413E2">
        <w:fldChar w:fldCharType="separate"/>
      </w:r>
      <w:r w:rsidR="000413E2" w:rsidRPr="000413E2">
        <w:rPr>
          <w:noProof/>
        </w:rPr>
        <w:t>17</w:t>
      </w:r>
      <w:r w:rsidRPr="000413E2">
        <w:fldChar w:fldCharType="end"/>
      </w:r>
      <w:r w:rsidRPr="000413E2">
        <w:t>.  Le 25 février 2013, les services sociaux rendirent un rapport dans lequel ils décrivaient les difficultés rencontrées par le requérant dans l</w:t>
      </w:r>
      <w:r w:rsidR="000413E2" w:rsidRPr="000413E2">
        <w:t>’</w:t>
      </w:r>
      <w:r w:rsidRPr="000413E2">
        <w:t>exercice de son droit de visite. Ils soulignaient, en particulier, le comportement obstructionniste de la mère, l</w:t>
      </w:r>
      <w:r w:rsidR="000413E2" w:rsidRPr="000413E2">
        <w:t>’</w:t>
      </w:r>
      <w:r w:rsidRPr="000413E2">
        <w:t>opposition de l</w:t>
      </w:r>
      <w:r w:rsidR="000413E2" w:rsidRPr="000413E2">
        <w:t>’</w:t>
      </w:r>
      <w:r w:rsidRPr="000413E2">
        <w:t>enfant, et le manque de confiance réciproque des parents.</w:t>
      </w:r>
    </w:p>
    <w:p w:rsidR="00025024" w:rsidRPr="000413E2" w:rsidRDefault="00025024" w:rsidP="000413E2">
      <w:pPr>
        <w:pStyle w:val="JuPara"/>
      </w:pPr>
      <w:r w:rsidRPr="000413E2">
        <w:fldChar w:fldCharType="begin"/>
      </w:r>
      <w:r w:rsidRPr="000413E2">
        <w:instrText xml:space="preserve"> SEQ level0 \*arabic </w:instrText>
      </w:r>
      <w:r w:rsidRPr="000413E2">
        <w:fldChar w:fldCharType="separate"/>
      </w:r>
      <w:r w:rsidR="000413E2" w:rsidRPr="000413E2">
        <w:rPr>
          <w:noProof/>
        </w:rPr>
        <w:t>18</w:t>
      </w:r>
      <w:r w:rsidRPr="000413E2">
        <w:fldChar w:fldCharType="end"/>
      </w:r>
      <w:r w:rsidRPr="000413E2">
        <w:t>.  Le 15 janvier 2013, A.G. introduisit un recours devant le juge des tutelles de Rome au sens de l</w:t>
      </w:r>
      <w:r w:rsidR="000413E2" w:rsidRPr="000413E2">
        <w:t>’</w:t>
      </w:r>
      <w:r w:rsidRPr="000413E2">
        <w:t>article 337 du code civil afin de demander qu</w:t>
      </w:r>
      <w:r w:rsidR="000413E2" w:rsidRPr="000413E2">
        <w:t>’</w:t>
      </w:r>
      <w:r w:rsidRPr="000413E2">
        <w:t>une expertise fût réalisée afin de vérifier le comportement du requérant dans l</w:t>
      </w:r>
      <w:r w:rsidR="000413E2" w:rsidRPr="000413E2">
        <w:t>’</w:t>
      </w:r>
      <w:r w:rsidRPr="000413E2">
        <w:t>exercice de son rôle parental.</w:t>
      </w:r>
    </w:p>
    <w:p w:rsidR="00025024" w:rsidRPr="000413E2" w:rsidRDefault="00025024" w:rsidP="000413E2">
      <w:pPr>
        <w:pStyle w:val="JuPara"/>
      </w:pPr>
      <w:r w:rsidRPr="000413E2">
        <w:fldChar w:fldCharType="begin"/>
      </w:r>
      <w:r w:rsidRPr="000413E2">
        <w:instrText xml:space="preserve"> SEQ level0 \*arabic </w:instrText>
      </w:r>
      <w:r w:rsidRPr="000413E2">
        <w:fldChar w:fldCharType="separate"/>
      </w:r>
      <w:r w:rsidR="000413E2" w:rsidRPr="000413E2">
        <w:rPr>
          <w:noProof/>
        </w:rPr>
        <w:t>19</w:t>
      </w:r>
      <w:r w:rsidRPr="000413E2">
        <w:fldChar w:fldCharType="end"/>
      </w:r>
      <w:r w:rsidRPr="000413E2">
        <w:t>.  Le requérant se constitua dans la procédure en soulignant le non-respect par la mère de l</w:t>
      </w:r>
      <w:r w:rsidR="000413E2" w:rsidRPr="000413E2">
        <w:t>’</w:t>
      </w:r>
      <w:r w:rsidRPr="000413E2">
        <w:t>enfant de la décision du tribunal pour enfants de Rome.</w:t>
      </w:r>
    </w:p>
    <w:p w:rsidR="00025024" w:rsidRPr="000413E2" w:rsidRDefault="00025024" w:rsidP="000413E2">
      <w:pPr>
        <w:pStyle w:val="JuPara"/>
      </w:pPr>
      <w:r w:rsidRPr="000413E2">
        <w:fldChar w:fldCharType="begin"/>
      </w:r>
      <w:r w:rsidRPr="000413E2">
        <w:instrText xml:space="preserve"> SEQ level0 \*arabic </w:instrText>
      </w:r>
      <w:r w:rsidRPr="000413E2">
        <w:fldChar w:fldCharType="separate"/>
      </w:r>
      <w:r w:rsidR="000413E2" w:rsidRPr="000413E2">
        <w:rPr>
          <w:noProof/>
        </w:rPr>
        <w:t>20</w:t>
      </w:r>
      <w:r w:rsidRPr="000413E2">
        <w:fldChar w:fldCharType="end"/>
      </w:r>
      <w:r w:rsidRPr="000413E2">
        <w:t>.  Le 26 février 2013, les parties se déclarèrent favorables à une médiation.</w:t>
      </w:r>
    </w:p>
    <w:p w:rsidR="00025024" w:rsidRPr="000413E2" w:rsidRDefault="00025024" w:rsidP="000413E2">
      <w:pPr>
        <w:pStyle w:val="JuPara"/>
      </w:pPr>
      <w:r w:rsidRPr="000413E2">
        <w:fldChar w:fldCharType="begin"/>
      </w:r>
      <w:r w:rsidRPr="000413E2">
        <w:instrText xml:space="preserve"> SEQ level0 \*arabic </w:instrText>
      </w:r>
      <w:r w:rsidRPr="000413E2">
        <w:fldChar w:fldCharType="separate"/>
      </w:r>
      <w:r w:rsidR="000413E2" w:rsidRPr="000413E2">
        <w:rPr>
          <w:noProof/>
        </w:rPr>
        <w:t>21</w:t>
      </w:r>
      <w:r w:rsidRPr="000413E2">
        <w:fldChar w:fldCharType="end"/>
      </w:r>
      <w:r w:rsidRPr="000413E2">
        <w:t>.  Le 20 janvier 2014, un rapport des services sociaux fut déposé au greffe. Selon ce rapport, malgré toutes les interventions effectuées, le requérant était empêché d</w:t>
      </w:r>
      <w:r w:rsidR="000413E2" w:rsidRPr="000413E2">
        <w:t>’</w:t>
      </w:r>
      <w:r w:rsidRPr="000413E2">
        <w:t>exercer son droit de visite par A.G.</w:t>
      </w:r>
    </w:p>
    <w:p w:rsidR="00025024" w:rsidRPr="000413E2" w:rsidRDefault="00025024" w:rsidP="000413E2">
      <w:pPr>
        <w:pStyle w:val="JuPara"/>
      </w:pPr>
      <w:r w:rsidRPr="000413E2">
        <w:fldChar w:fldCharType="begin"/>
      </w:r>
      <w:r w:rsidRPr="000413E2">
        <w:instrText xml:space="preserve"> SEQ level0 \*arabic </w:instrText>
      </w:r>
      <w:r w:rsidRPr="000413E2">
        <w:fldChar w:fldCharType="separate"/>
      </w:r>
      <w:r w:rsidR="000413E2" w:rsidRPr="000413E2">
        <w:rPr>
          <w:noProof/>
        </w:rPr>
        <w:t>22</w:t>
      </w:r>
      <w:r w:rsidRPr="000413E2">
        <w:fldChar w:fldCharType="end"/>
      </w:r>
      <w:r w:rsidRPr="000413E2">
        <w:t>.  Le 28 janvier 2014, un résumé des activités de soutien à la famille fut envoyé au juge des tutelles.</w:t>
      </w:r>
    </w:p>
    <w:p w:rsidR="00025024" w:rsidRPr="000413E2" w:rsidRDefault="00025024" w:rsidP="000413E2">
      <w:pPr>
        <w:pStyle w:val="JuPara"/>
      </w:pPr>
      <w:r w:rsidRPr="000413E2">
        <w:fldChar w:fldCharType="begin"/>
      </w:r>
      <w:r w:rsidRPr="000413E2">
        <w:instrText xml:space="preserve"> SEQ level0 \*arabic </w:instrText>
      </w:r>
      <w:r w:rsidRPr="000413E2">
        <w:fldChar w:fldCharType="separate"/>
      </w:r>
      <w:r w:rsidR="000413E2" w:rsidRPr="000413E2">
        <w:rPr>
          <w:noProof/>
        </w:rPr>
        <w:t>23</w:t>
      </w:r>
      <w:r w:rsidRPr="000413E2">
        <w:fldChar w:fldCharType="end"/>
      </w:r>
      <w:r w:rsidRPr="000413E2">
        <w:t>.  À l</w:t>
      </w:r>
      <w:r w:rsidR="000413E2" w:rsidRPr="000413E2">
        <w:t>’</w:t>
      </w:r>
      <w:r w:rsidRPr="000413E2">
        <w:t>audience du 7 février 2014, les parties s</w:t>
      </w:r>
      <w:r w:rsidR="000413E2" w:rsidRPr="000413E2">
        <w:t>’</w:t>
      </w:r>
      <w:r w:rsidRPr="000413E2">
        <w:t>accordèrent sur les modalités du droit de visite et le juge des tutelles renvoya à l</w:t>
      </w:r>
      <w:r w:rsidR="000413E2" w:rsidRPr="000413E2">
        <w:t>’</w:t>
      </w:r>
      <w:r w:rsidRPr="000413E2">
        <w:t>audience du 14 mars 2014 l</w:t>
      </w:r>
      <w:r w:rsidR="000413E2" w:rsidRPr="000413E2">
        <w:t>’</w:t>
      </w:r>
      <w:r w:rsidRPr="000413E2">
        <w:t>évaluation de la mise en œuvre de l</w:t>
      </w:r>
      <w:r w:rsidR="000413E2" w:rsidRPr="000413E2">
        <w:t>’</w:t>
      </w:r>
      <w:r w:rsidRPr="000413E2">
        <w:t>accord. Lors de cette audience, le juge entendit les parties.</w:t>
      </w:r>
    </w:p>
    <w:p w:rsidR="00025024" w:rsidRPr="000413E2" w:rsidRDefault="00025024" w:rsidP="000413E2">
      <w:pPr>
        <w:pStyle w:val="JuPara"/>
      </w:pPr>
      <w:r w:rsidRPr="000413E2">
        <w:fldChar w:fldCharType="begin"/>
      </w:r>
      <w:r w:rsidRPr="000413E2">
        <w:instrText xml:space="preserve"> SEQ level0 \*arabic </w:instrText>
      </w:r>
      <w:r w:rsidRPr="000413E2">
        <w:fldChar w:fldCharType="separate"/>
      </w:r>
      <w:r w:rsidR="000413E2" w:rsidRPr="000413E2">
        <w:rPr>
          <w:noProof/>
        </w:rPr>
        <w:t>24</w:t>
      </w:r>
      <w:r w:rsidRPr="000413E2">
        <w:fldChar w:fldCharType="end"/>
      </w:r>
      <w:r w:rsidRPr="000413E2">
        <w:t>.  Le 12 septembre 2014, le juge des tutelles chargea les services sociaux de Rome d</w:t>
      </w:r>
      <w:r w:rsidR="000413E2" w:rsidRPr="000413E2">
        <w:t>’</w:t>
      </w:r>
      <w:r w:rsidRPr="000413E2">
        <w:t>informer le tribunal pour enfants des difficultés rencontrées par le requérant dans l</w:t>
      </w:r>
      <w:r w:rsidR="000413E2" w:rsidRPr="000413E2">
        <w:t>’</w:t>
      </w:r>
      <w:r w:rsidRPr="000413E2">
        <w:t>exercice de son droit de visite. Il indiqua également que l</w:t>
      </w:r>
      <w:r w:rsidR="000413E2" w:rsidRPr="000413E2">
        <w:t>’</w:t>
      </w:r>
      <w:r w:rsidRPr="000413E2">
        <w:t>initiative des services sociaux de réduire les rencontres avec le requérant aurait dû être supervisée par le tribunal et que le droit de visite du père n</w:t>
      </w:r>
      <w:r w:rsidR="000413E2" w:rsidRPr="000413E2">
        <w:t>’</w:t>
      </w:r>
      <w:r w:rsidRPr="000413E2">
        <w:t>avait pas été entièrement respecté. Il souligna que ce n</w:t>
      </w:r>
      <w:r w:rsidR="000413E2" w:rsidRPr="000413E2">
        <w:t>’</w:t>
      </w:r>
      <w:r w:rsidRPr="000413E2">
        <w:t>était pas seulement le comportement obstructionniste de A.G. qui avait empêché le droit de visite du requérant pendant un certain temps, mais également le refus de l</w:t>
      </w:r>
      <w:r w:rsidR="000413E2" w:rsidRPr="000413E2">
        <w:t>’</w:t>
      </w:r>
      <w:r w:rsidRPr="000413E2">
        <w:t>enfant de rencontrer le requérant et la décision de ce dernier de ne pas exercer son droit de visite en présence de la mère de l</w:t>
      </w:r>
      <w:r w:rsidR="000413E2" w:rsidRPr="000413E2">
        <w:t>’</w:t>
      </w:r>
      <w:r w:rsidRPr="000413E2">
        <w:t>enfant. Le juge des tutelles exposa que la mère de l</w:t>
      </w:r>
      <w:r w:rsidR="000413E2" w:rsidRPr="000413E2">
        <w:t>’</w:t>
      </w:r>
      <w:r w:rsidRPr="000413E2">
        <w:t>enfant n</w:t>
      </w:r>
      <w:r w:rsidR="000413E2" w:rsidRPr="000413E2">
        <w:t>’</w:t>
      </w:r>
      <w:r w:rsidRPr="000413E2">
        <w:t xml:space="preserve">était pas la seule coupable de la </w:t>
      </w:r>
      <w:r w:rsidRPr="000413E2">
        <w:lastRenderedPageBreak/>
        <w:t>situation : le requérant n</w:t>
      </w:r>
      <w:r w:rsidR="000413E2" w:rsidRPr="000413E2">
        <w:t>’</w:t>
      </w:r>
      <w:r w:rsidRPr="000413E2">
        <w:t>avait pas respecté ses obligations de payer la pension alimentaire et n</w:t>
      </w:r>
      <w:r w:rsidR="000413E2" w:rsidRPr="000413E2">
        <w:t>’</w:t>
      </w:r>
      <w:r w:rsidRPr="000413E2">
        <w:t>avait pas fait preuve de sa volonté d</w:t>
      </w:r>
      <w:r w:rsidR="000413E2" w:rsidRPr="000413E2">
        <w:t>’</w:t>
      </w:r>
      <w:r w:rsidRPr="000413E2">
        <w:t>entreprendre un parcours afin de renouer une relation avec son fils.</w:t>
      </w:r>
    </w:p>
    <w:p w:rsidR="00025024" w:rsidRPr="000413E2" w:rsidRDefault="00025024" w:rsidP="000413E2">
      <w:pPr>
        <w:pStyle w:val="JuPara"/>
      </w:pPr>
      <w:r w:rsidRPr="000413E2">
        <w:fldChar w:fldCharType="begin"/>
      </w:r>
      <w:r w:rsidRPr="000413E2">
        <w:instrText xml:space="preserve"> SEQ level0 \*arabic </w:instrText>
      </w:r>
      <w:r w:rsidRPr="000413E2">
        <w:fldChar w:fldCharType="separate"/>
      </w:r>
      <w:r w:rsidR="000413E2" w:rsidRPr="000413E2">
        <w:rPr>
          <w:noProof/>
        </w:rPr>
        <w:t>25</w:t>
      </w:r>
      <w:r w:rsidRPr="000413E2">
        <w:fldChar w:fldCharType="end"/>
      </w:r>
      <w:r w:rsidRPr="000413E2">
        <w:t>.  Le 20 janvier 2015, le procureur, sur la base des nouvelles informations reçues par les services sociaux, introduisit un recours devant le tribunal de Rome visant à obtenir la déchéance ou la limitation de l</w:t>
      </w:r>
      <w:r w:rsidR="000413E2" w:rsidRPr="000413E2">
        <w:t>’</w:t>
      </w:r>
      <w:r w:rsidRPr="000413E2">
        <w:t>autorité parentale de la mère sur la base de la décision prise par le tribunal le 24 septembre 2012.</w:t>
      </w:r>
    </w:p>
    <w:p w:rsidR="00025024" w:rsidRPr="000413E2" w:rsidRDefault="00025024" w:rsidP="000413E2">
      <w:pPr>
        <w:pStyle w:val="JuPara"/>
      </w:pPr>
      <w:r w:rsidRPr="000413E2">
        <w:fldChar w:fldCharType="begin"/>
      </w:r>
      <w:r w:rsidRPr="000413E2">
        <w:instrText xml:space="preserve"> SEQ level0 \*arabic </w:instrText>
      </w:r>
      <w:r w:rsidRPr="000413E2">
        <w:fldChar w:fldCharType="separate"/>
      </w:r>
      <w:r w:rsidR="000413E2" w:rsidRPr="000413E2">
        <w:rPr>
          <w:noProof/>
        </w:rPr>
        <w:t>26</w:t>
      </w:r>
      <w:r w:rsidRPr="000413E2">
        <w:fldChar w:fldCharType="end"/>
      </w:r>
      <w:r w:rsidRPr="000413E2">
        <w:t>.  Par une décision du 16 septembre 2015, le tribunal pour enfants de Rome, après avoir examiné les rapports des services sociaux et la décision du juge des tutelles, conclut que la situation familiale était la conséquence du comportement des deux parents. Il suspendit l</w:t>
      </w:r>
      <w:r w:rsidR="000413E2" w:rsidRPr="000413E2">
        <w:t>’</w:t>
      </w:r>
      <w:r w:rsidRPr="000413E2">
        <w:t>autorité parentale des deux parents, confia la garde de l</w:t>
      </w:r>
      <w:r w:rsidR="000413E2" w:rsidRPr="000413E2">
        <w:t>’</w:t>
      </w:r>
      <w:r w:rsidRPr="000413E2">
        <w:t>enfant aux services sociaux, nomma un tuteur, ordonna une expertise des deux parents, chargea les services sociaux de suivre la situation de la famille et demanda une expertise sur les capacités parentales du requérant et de A.G. et sur l</w:t>
      </w:r>
      <w:r w:rsidR="000413E2" w:rsidRPr="000413E2">
        <w:t>’</w:t>
      </w:r>
      <w:r w:rsidRPr="000413E2">
        <w:t>évolution de l</w:t>
      </w:r>
      <w:r w:rsidR="000413E2" w:rsidRPr="000413E2">
        <w:t>’</w:t>
      </w:r>
      <w:r w:rsidRPr="000413E2">
        <w:t>enfant pour le 31 décembre 2015.</w:t>
      </w:r>
    </w:p>
    <w:p w:rsidR="00025024" w:rsidRPr="000413E2" w:rsidRDefault="00025024" w:rsidP="000413E2">
      <w:pPr>
        <w:pStyle w:val="JuPara"/>
      </w:pPr>
      <w:r w:rsidRPr="000413E2">
        <w:fldChar w:fldCharType="begin"/>
      </w:r>
      <w:r w:rsidRPr="000413E2">
        <w:instrText xml:space="preserve"> SEQ level0 \*arabic </w:instrText>
      </w:r>
      <w:r w:rsidRPr="000413E2">
        <w:fldChar w:fldCharType="separate"/>
      </w:r>
      <w:r w:rsidR="000413E2" w:rsidRPr="000413E2">
        <w:rPr>
          <w:noProof/>
        </w:rPr>
        <w:t>27</w:t>
      </w:r>
      <w:r w:rsidRPr="000413E2">
        <w:fldChar w:fldCharType="end"/>
      </w:r>
      <w:r w:rsidRPr="000413E2">
        <w:t>.  Le 6 octobre 2015, le requérant demanda en urgence au tribunal pour enfants de Rome la reprise immédiate des rapports père-fils.</w:t>
      </w:r>
    </w:p>
    <w:p w:rsidR="00025024" w:rsidRPr="000413E2" w:rsidRDefault="00025024" w:rsidP="000413E2">
      <w:pPr>
        <w:pStyle w:val="JuPara"/>
      </w:pPr>
      <w:r w:rsidRPr="000413E2">
        <w:fldChar w:fldCharType="begin"/>
      </w:r>
      <w:r w:rsidRPr="000413E2">
        <w:instrText xml:space="preserve"> SEQ level0 \*arabic </w:instrText>
      </w:r>
      <w:r w:rsidRPr="000413E2">
        <w:fldChar w:fldCharType="separate"/>
      </w:r>
      <w:r w:rsidR="000413E2" w:rsidRPr="000413E2">
        <w:rPr>
          <w:noProof/>
        </w:rPr>
        <w:t>28</w:t>
      </w:r>
      <w:r w:rsidRPr="000413E2">
        <w:fldChar w:fldCharType="end"/>
      </w:r>
      <w:r w:rsidRPr="000413E2">
        <w:t>.  Entre le 10 juin et le 14 juin 2016, les services sociaux ainsi que le tuteur de l</w:t>
      </w:r>
      <w:r w:rsidR="000413E2" w:rsidRPr="000413E2">
        <w:t>’</w:t>
      </w:r>
      <w:r w:rsidRPr="000413E2">
        <w:t>enfant signalèrent au tribunal que l</w:t>
      </w:r>
      <w:r w:rsidR="000413E2" w:rsidRPr="000413E2">
        <w:t>’</w:t>
      </w:r>
      <w:r w:rsidRPr="000413E2">
        <w:t>évaluation de la situation de la famille aurait dû être faite avant le 30 décembre 2015, mais que le Centre d</w:t>
      </w:r>
      <w:r w:rsidR="000413E2" w:rsidRPr="000413E2">
        <w:t>’</w:t>
      </w:r>
      <w:r w:rsidRPr="000413E2">
        <w:t>aide à l</w:t>
      </w:r>
      <w:r w:rsidR="000413E2" w:rsidRPr="000413E2">
        <w:t>’</w:t>
      </w:r>
      <w:r w:rsidRPr="000413E2">
        <w:t>enfance qui en avait été chargé n</w:t>
      </w:r>
      <w:r w:rsidR="000413E2" w:rsidRPr="000413E2">
        <w:t>’</w:t>
      </w:r>
      <w:r w:rsidRPr="000413E2">
        <w:t>était plus opérationnel. Les services sociaux contactèrent alors le centre Fregosi, qui était disponible pour reprendre le suivi de la famille à partir d</w:t>
      </w:r>
      <w:r w:rsidR="000413E2" w:rsidRPr="000413E2">
        <w:t>’</w:t>
      </w:r>
      <w:r w:rsidRPr="000413E2">
        <w:t>octobre 2016.</w:t>
      </w:r>
    </w:p>
    <w:p w:rsidR="00025024" w:rsidRPr="000413E2" w:rsidRDefault="00025024" w:rsidP="000413E2">
      <w:pPr>
        <w:pStyle w:val="JuPara"/>
      </w:pPr>
      <w:r w:rsidRPr="000413E2">
        <w:fldChar w:fldCharType="begin"/>
      </w:r>
      <w:r w:rsidRPr="000413E2">
        <w:instrText xml:space="preserve"> SEQ level0 \*arabic </w:instrText>
      </w:r>
      <w:r w:rsidRPr="000413E2">
        <w:fldChar w:fldCharType="separate"/>
      </w:r>
      <w:r w:rsidR="000413E2" w:rsidRPr="000413E2">
        <w:rPr>
          <w:noProof/>
        </w:rPr>
        <w:t>29</w:t>
      </w:r>
      <w:r w:rsidRPr="000413E2">
        <w:fldChar w:fldCharType="end"/>
      </w:r>
      <w:r w:rsidRPr="000413E2">
        <w:t>.  Après avoir suivi les parents et l</w:t>
      </w:r>
      <w:r w:rsidR="000413E2" w:rsidRPr="000413E2">
        <w:t>’</w:t>
      </w:r>
      <w:r w:rsidRPr="000413E2">
        <w:t>enfant, ce centre envoya un rapport au tribunal, rapport selon lequel l</w:t>
      </w:r>
      <w:r w:rsidR="000413E2" w:rsidRPr="000413E2">
        <w:t>’</w:t>
      </w:r>
      <w:r w:rsidRPr="000413E2">
        <w:t>enfant était entravé dans son développement psychophysique. Ce rapport pouvait notamment se lire ainsi : « L</w:t>
      </w:r>
      <w:r w:rsidR="000413E2" w:rsidRPr="000413E2">
        <w:t>’</w:t>
      </w:r>
      <w:r w:rsidRPr="000413E2">
        <w:t>enfant semble utiliser des mécanismes de défense primitifs centrés sur la négation, la projection et le clivage. Le contexte familial actuel de l</w:t>
      </w:r>
      <w:r w:rsidR="000413E2" w:rsidRPr="000413E2">
        <w:t>’</w:t>
      </w:r>
      <w:r w:rsidRPr="000413E2">
        <w:t>enfant, composé principalement de sa mère et des parents [de celle-ci], semble être fortement schizophrène en raison des liens narcissiques dans lesquels prévalent la perte de différenciation psychologique entre les membres de la famille, la confusion des rôles et donc la rupture des liens intergénérationnels. (...) Les parents ont été suivis pendant des années par les services sociaux et aucun changement ne semble avoir eu lieu. Au contraire, l</w:t>
      </w:r>
      <w:r w:rsidR="000413E2" w:rsidRPr="000413E2">
        <w:t>’</w:t>
      </w:r>
      <w:r w:rsidRPr="000413E2">
        <w:t>évolution de l</w:t>
      </w:r>
      <w:r w:rsidR="000413E2" w:rsidRPr="000413E2">
        <w:t>’</w:t>
      </w:r>
      <w:r w:rsidRPr="000413E2">
        <w:t>enfant semble s</w:t>
      </w:r>
      <w:r w:rsidR="000413E2" w:rsidRPr="000413E2">
        <w:t>’</w:t>
      </w:r>
      <w:r w:rsidRPr="000413E2">
        <w:t>orienter vers un développement psychopathologique. Dans ce cadre, il devient indispensable de préserver l</w:t>
      </w:r>
      <w:r w:rsidR="000413E2" w:rsidRPr="000413E2">
        <w:t>’</w:t>
      </w:r>
      <w:r w:rsidRPr="000413E2">
        <w:t>enfant d</w:t>
      </w:r>
      <w:r w:rsidR="000413E2" w:rsidRPr="000413E2">
        <w:t>’</w:t>
      </w:r>
      <w:r w:rsidRPr="000413E2">
        <w:t>un environnement familial préjudiciable [dans lequel son bien-être et ses besoins n</w:t>
      </w:r>
      <w:r w:rsidR="000413E2" w:rsidRPr="000413E2">
        <w:t>’</w:t>
      </w:r>
      <w:r w:rsidRPr="000413E2">
        <w:t>étaient pas pris en compte]. Un traitement par psychothérapie intensive est inévitablement [nécessaire pour] protéger l</w:t>
      </w:r>
      <w:r w:rsidR="000413E2" w:rsidRPr="000413E2">
        <w:t>’</w:t>
      </w:r>
      <w:r w:rsidR="00D931D5" w:rsidRPr="000413E2">
        <w:t>enfant </w:t>
      </w:r>
      <w:r w:rsidRPr="000413E2">
        <w:t>».</w:t>
      </w:r>
    </w:p>
    <w:p w:rsidR="00025024" w:rsidRPr="000413E2" w:rsidRDefault="00025024" w:rsidP="000413E2">
      <w:pPr>
        <w:pStyle w:val="JuPara"/>
      </w:pPr>
      <w:r w:rsidRPr="000413E2">
        <w:fldChar w:fldCharType="begin"/>
      </w:r>
      <w:r w:rsidRPr="000413E2">
        <w:instrText xml:space="preserve"> SEQ level0 \*arabic </w:instrText>
      </w:r>
      <w:r w:rsidRPr="000413E2">
        <w:fldChar w:fldCharType="separate"/>
      </w:r>
      <w:r w:rsidR="000413E2" w:rsidRPr="000413E2">
        <w:rPr>
          <w:noProof/>
        </w:rPr>
        <w:t>30</w:t>
      </w:r>
      <w:r w:rsidRPr="000413E2">
        <w:fldChar w:fldCharType="end"/>
      </w:r>
      <w:r w:rsidRPr="000413E2">
        <w:t>.  Le 28 novembre 2016, le tribunal pour enfants de Rome, s</w:t>
      </w:r>
      <w:r w:rsidR="000413E2" w:rsidRPr="000413E2">
        <w:t>’</w:t>
      </w:r>
      <w:r w:rsidRPr="000413E2">
        <w:t>appuyant sur le rapport du centre Fregosi et considérant que l</w:t>
      </w:r>
      <w:r w:rsidR="000413E2" w:rsidRPr="000413E2">
        <w:t>’</w:t>
      </w:r>
      <w:r w:rsidRPr="000413E2">
        <w:t xml:space="preserve">actuel placement de </w:t>
      </w:r>
      <w:r w:rsidRPr="000413E2">
        <w:lastRenderedPageBreak/>
        <w:t>l</w:t>
      </w:r>
      <w:r w:rsidR="000413E2" w:rsidRPr="000413E2">
        <w:t>’</w:t>
      </w:r>
      <w:r w:rsidRPr="000413E2">
        <w:t>enfant chez la mère était préjudiciable à l</w:t>
      </w:r>
      <w:r w:rsidR="000413E2" w:rsidRPr="000413E2">
        <w:t>’</w:t>
      </w:r>
      <w:r w:rsidRPr="000413E2">
        <w:t>enfant et qu</w:t>
      </w:r>
      <w:r w:rsidR="000413E2" w:rsidRPr="000413E2">
        <w:t>’</w:t>
      </w:r>
      <w:r w:rsidRPr="000413E2">
        <w:t>il n</w:t>
      </w:r>
      <w:r w:rsidR="000413E2" w:rsidRPr="000413E2">
        <w:t>’</w:t>
      </w:r>
      <w:r w:rsidRPr="000413E2">
        <w:t>était pas possible, à ce stade, d</w:t>
      </w:r>
      <w:r w:rsidR="000413E2" w:rsidRPr="000413E2">
        <w:t>’</w:t>
      </w:r>
      <w:r w:rsidRPr="000413E2">
        <w:t>envisager un placement chez le requérant, décida de placer l</w:t>
      </w:r>
      <w:r w:rsidR="000413E2" w:rsidRPr="000413E2">
        <w:t>’</w:t>
      </w:r>
      <w:r w:rsidRPr="000413E2">
        <w:t>enfant dans une structure d</w:t>
      </w:r>
      <w:r w:rsidR="000413E2" w:rsidRPr="000413E2">
        <w:t>’</w:t>
      </w:r>
      <w:r w:rsidRPr="000413E2">
        <w:t>accueil. Il ordonna également que l</w:t>
      </w:r>
      <w:r w:rsidR="000413E2" w:rsidRPr="000413E2">
        <w:t>’</w:t>
      </w:r>
      <w:r w:rsidRPr="000413E2">
        <w:t>enfant fût soumis à un traitement psychothérapeutique pour l</w:t>
      </w:r>
      <w:r w:rsidR="000413E2" w:rsidRPr="000413E2">
        <w:t>’</w:t>
      </w:r>
      <w:r w:rsidRPr="000413E2">
        <w:t>aider à se rapprocher de son père, que les rencontres avec les parents fussent organisées dans la structure d</w:t>
      </w:r>
      <w:r w:rsidR="000413E2" w:rsidRPr="000413E2">
        <w:t>’</w:t>
      </w:r>
      <w:r w:rsidRPr="000413E2">
        <w:t>accueil et que la fréquence desdites rencontres fût établie par le tuteur en cohérence avec le parcours psychothérapeutique de l</w:t>
      </w:r>
      <w:r w:rsidR="000413E2" w:rsidRPr="000413E2">
        <w:t>’</w:t>
      </w:r>
      <w:r w:rsidRPr="000413E2">
        <w:t>enfant.</w:t>
      </w:r>
    </w:p>
    <w:p w:rsidR="00025024" w:rsidRPr="000413E2" w:rsidRDefault="00025024" w:rsidP="000413E2">
      <w:pPr>
        <w:pStyle w:val="JuPara"/>
      </w:pPr>
      <w:r w:rsidRPr="000413E2">
        <w:fldChar w:fldCharType="begin"/>
      </w:r>
      <w:r w:rsidRPr="000413E2">
        <w:instrText xml:space="preserve"> SEQ level0 \*arabic </w:instrText>
      </w:r>
      <w:r w:rsidRPr="000413E2">
        <w:fldChar w:fldCharType="separate"/>
      </w:r>
      <w:r w:rsidR="000413E2" w:rsidRPr="000413E2">
        <w:rPr>
          <w:noProof/>
        </w:rPr>
        <w:t>31</w:t>
      </w:r>
      <w:r w:rsidRPr="000413E2">
        <w:fldChar w:fldCharType="end"/>
      </w:r>
      <w:r w:rsidRPr="000413E2">
        <w:t>.  La mère de l</w:t>
      </w:r>
      <w:r w:rsidR="000413E2" w:rsidRPr="000413E2">
        <w:t>’</w:t>
      </w:r>
      <w:r w:rsidRPr="000413E2">
        <w:t>enfant fit appel de cette décision en novembre 2016. Par une décision du 26 janvier 2017, cet appel fut rejeté et le placement de l</w:t>
      </w:r>
      <w:r w:rsidR="000413E2" w:rsidRPr="000413E2">
        <w:t>’</w:t>
      </w:r>
      <w:r w:rsidRPr="000413E2">
        <w:t>enfant fut confirmé.</w:t>
      </w:r>
    </w:p>
    <w:p w:rsidR="00025024" w:rsidRPr="000413E2" w:rsidRDefault="00025024" w:rsidP="000413E2">
      <w:pPr>
        <w:pStyle w:val="JuPara"/>
      </w:pPr>
      <w:r w:rsidRPr="000413E2">
        <w:fldChar w:fldCharType="begin"/>
      </w:r>
      <w:r w:rsidRPr="000413E2">
        <w:instrText xml:space="preserve"> SEQ level0 \*arabic </w:instrText>
      </w:r>
      <w:r w:rsidRPr="000413E2">
        <w:fldChar w:fldCharType="separate"/>
      </w:r>
      <w:r w:rsidR="000413E2" w:rsidRPr="000413E2">
        <w:rPr>
          <w:noProof/>
        </w:rPr>
        <w:t>32</w:t>
      </w:r>
      <w:r w:rsidRPr="000413E2">
        <w:fldChar w:fldCharType="end"/>
      </w:r>
      <w:r w:rsidRPr="000413E2">
        <w:t>.  Par un rapport du 23 mars 2017, l</w:t>
      </w:r>
      <w:r w:rsidR="000413E2" w:rsidRPr="000413E2">
        <w:t>’</w:t>
      </w:r>
      <w:r w:rsidRPr="000413E2">
        <w:t>assistante sociale et le tuteur informèrent le tribunal de l</w:t>
      </w:r>
      <w:r w:rsidR="000413E2" w:rsidRPr="000413E2">
        <w:t>’</w:t>
      </w:r>
      <w:r w:rsidRPr="000413E2">
        <w:t>amélioration des conditions dans lesquelles se trouvait l</w:t>
      </w:r>
      <w:r w:rsidR="000413E2" w:rsidRPr="000413E2">
        <w:t>’</w:t>
      </w:r>
      <w:r w:rsidRPr="000413E2">
        <w:t>enfant.</w:t>
      </w:r>
    </w:p>
    <w:p w:rsidR="00025024" w:rsidRPr="000413E2" w:rsidRDefault="00025024" w:rsidP="000413E2">
      <w:pPr>
        <w:pStyle w:val="JuPara"/>
      </w:pPr>
      <w:r w:rsidRPr="000413E2">
        <w:fldChar w:fldCharType="begin"/>
      </w:r>
      <w:r w:rsidRPr="000413E2">
        <w:instrText xml:space="preserve"> SEQ level0 \*arabic </w:instrText>
      </w:r>
      <w:r w:rsidRPr="000413E2">
        <w:fldChar w:fldCharType="separate"/>
      </w:r>
      <w:r w:rsidR="000413E2" w:rsidRPr="000413E2">
        <w:rPr>
          <w:noProof/>
        </w:rPr>
        <w:t>33</w:t>
      </w:r>
      <w:r w:rsidRPr="000413E2">
        <w:fldChar w:fldCharType="end"/>
      </w:r>
      <w:r w:rsidRPr="000413E2">
        <w:t>.  Le 4 avril 2017, un tuteur spécial fut nommé pour l</w:t>
      </w:r>
      <w:r w:rsidR="000413E2" w:rsidRPr="000413E2">
        <w:t>’</w:t>
      </w:r>
      <w:r w:rsidRPr="000413E2">
        <w:t>enfant et il fut autorisé à prévoir, en accord avec le curateur, le retour de l</w:t>
      </w:r>
      <w:r w:rsidR="000413E2" w:rsidRPr="000413E2">
        <w:t>’</w:t>
      </w:r>
      <w:r w:rsidRPr="000413E2">
        <w:t>enfant chez ses parents.</w:t>
      </w:r>
    </w:p>
    <w:p w:rsidR="00025024" w:rsidRPr="000413E2" w:rsidRDefault="00025024" w:rsidP="000413E2">
      <w:pPr>
        <w:pStyle w:val="JuPara"/>
      </w:pPr>
      <w:r w:rsidRPr="000413E2">
        <w:fldChar w:fldCharType="begin"/>
      </w:r>
      <w:r w:rsidRPr="000413E2">
        <w:instrText xml:space="preserve"> SEQ level0 \*arabic </w:instrText>
      </w:r>
      <w:r w:rsidRPr="000413E2">
        <w:fldChar w:fldCharType="separate"/>
      </w:r>
      <w:r w:rsidR="000413E2" w:rsidRPr="000413E2">
        <w:rPr>
          <w:noProof/>
        </w:rPr>
        <w:t>34</w:t>
      </w:r>
      <w:r w:rsidRPr="000413E2">
        <w:fldChar w:fldCharType="end"/>
      </w:r>
      <w:r w:rsidRPr="000413E2">
        <w:t>.  À l</w:t>
      </w:r>
      <w:r w:rsidR="000413E2" w:rsidRPr="000413E2">
        <w:t>’</w:t>
      </w:r>
      <w:r w:rsidRPr="000413E2">
        <w:t>audience du 7 septembre 2017, en la présence du curateur, du tuteur, du responsable de la maison d</w:t>
      </w:r>
      <w:r w:rsidR="000413E2" w:rsidRPr="000413E2">
        <w:t>’</w:t>
      </w:r>
      <w:r w:rsidRPr="000413E2">
        <w:t>accueil, de l</w:t>
      </w:r>
      <w:r w:rsidR="000413E2" w:rsidRPr="000413E2">
        <w:t>’</w:t>
      </w:r>
      <w:r w:rsidRPr="000413E2">
        <w:t>assistance sociale et des avocats des parties, à la lumière des améliorations intervenues, le tribunal pour enfants décida que le mineur devait être à nouveau placé chez sa mère et qu</w:t>
      </w:r>
      <w:r w:rsidR="000413E2" w:rsidRPr="000413E2">
        <w:t>’</w:t>
      </w:r>
      <w:r w:rsidRPr="000413E2">
        <w:t>il devait passer un week-end sur deux chez le requérant tout en continuant à bénéficier d</w:t>
      </w:r>
      <w:r w:rsidR="000413E2" w:rsidRPr="000413E2">
        <w:t>’</w:t>
      </w:r>
      <w:r w:rsidRPr="000413E2">
        <w:t>un parcours de soutien.</w:t>
      </w:r>
    </w:p>
    <w:p w:rsidR="00025024" w:rsidRPr="000413E2" w:rsidRDefault="00025024" w:rsidP="000413E2">
      <w:pPr>
        <w:pStyle w:val="JuPara"/>
      </w:pPr>
      <w:r w:rsidRPr="000413E2">
        <w:fldChar w:fldCharType="begin"/>
      </w:r>
      <w:r w:rsidRPr="000413E2">
        <w:instrText xml:space="preserve"> SEQ level0 \*arabic </w:instrText>
      </w:r>
      <w:r w:rsidRPr="000413E2">
        <w:fldChar w:fldCharType="separate"/>
      </w:r>
      <w:r w:rsidR="000413E2" w:rsidRPr="000413E2">
        <w:rPr>
          <w:noProof/>
        </w:rPr>
        <w:t>35</w:t>
      </w:r>
      <w:r w:rsidRPr="000413E2">
        <w:fldChar w:fldCharType="end"/>
      </w:r>
      <w:r w:rsidRPr="000413E2">
        <w:t>.  Le 1</w:t>
      </w:r>
      <w:r w:rsidRPr="000413E2">
        <w:rPr>
          <w:vertAlign w:val="superscript"/>
        </w:rPr>
        <w:t>er</w:t>
      </w:r>
      <w:r w:rsidRPr="000413E2">
        <w:t xml:space="preserve"> mars 2018, le tribunal pour enfants constata l</w:t>
      </w:r>
      <w:r w:rsidR="000413E2" w:rsidRPr="000413E2">
        <w:t>’</w:t>
      </w:r>
      <w:r w:rsidRPr="000413E2">
        <w:t>amélioration de la situation familiale et ne donna pas suite à la demande du procureur de déchoir la mère de son autorité parentale. Il observa que la communication entre les parents s</w:t>
      </w:r>
      <w:r w:rsidR="000413E2" w:rsidRPr="000413E2">
        <w:t>’</w:t>
      </w:r>
      <w:r w:rsidRPr="000413E2">
        <w:t>était améliorée, que l</w:t>
      </w:r>
      <w:r w:rsidR="000413E2" w:rsidRPr="000413E2">
        <w:t>’</w:t>
      </w:r>
      <w:r w:rsidRPr="000413E2">
        <w:t>enfant avait de bons rapports avec le requérant et sa compagne et que les deux parents collaboraient dans l</w:t>
      </w:r>
      <w:r w:rsidR="000413E2" w:rsidRPr="000413E2">
        <w:t>’</w:t>
      </w:r>
      <w:r w:rsidRPr="000413E2">
        <w:t>exercice de leur autorité parentale.</w:t>
      </w:r>
    </w:p>
    <w:p w:rsidR="00025024" w:rsidRPr="000413E2" w:rsidRDefault="00025024" w:rsidP="000413E2">
      <w:pPr>
        <w:pStyle w:val="JuHHead"/>
        <w:rPr>
          <w:lang w:val="fr-FR"/>
        </w:rPr>
      </w:pPr>
      <w:bookmarkStart w:id="9" w:name="_Hlk36127227"/>
      <w:r w:rsidRPr="000413E2">
        <w:rPr>
          <w:lang w:val="fr-FR"/>
        </w:rPr>
        <w:t>LE CADRE JURIDIQUE ET LA PRATIQUE INTERNES PERTINENTS</w:t>
      </w:r>
    </w:p>
    <w:bookmarkEnd w:id="9"/>
    <w:p w:rsidR="00025024" w:rsidRPr="000413E2" w:rsidRDefault="00025024" w:rsidP="000413E2">
      <w:pPr>
        <w:pStyle w:val="JuPara"/>
      </w:pPr>
      <w:r w:rsidRPr="000413E2">
        <w:fldChar w:fldCharType="begin"/>
      </w:r>
      <w:r w:rsidRPr="000413E2">
        <w:instrText xml:space="preserve"> SEQ level0 \*arabic </w:instrText>
      </w:r>
      <w:r w:rsidRPr="000413E2">
        <w:fldChar w:fldCharType="separate"/>
      </w:r>
      <w:r w:rsidR="000413E2" w:rsidRPr="000413E2">
        <w:rPr>
          <w:noProof/>
        </w:rPr>
        <w:t>36</w:t>
      </w:r>
      <w:r w:rsidRPr="000413E2">
        <w:fldChar w:fldCharType="end"/>
      </w:r>
      <w:r w:rsidRPr="000413E2">
        <w:t>.  Le droit interne pertinent se trouve décrit dans l</w:t>
      </w:r>
      <w:r w:rsidR="000413E2" w:rsidRPr="000413E2">
        <w:t>’</w:t>
      </w:r>
      <w:r w:rsidRPr="000413E2">
        <w:t xml:space="preserve">arrêt </w:t>
      </w:r>
      <w:r w:rsidRPr="000413E2">
        <w:rPr>
          <w:i/>
        </w:rPr>
        <w:t xml:space="preserve">Strumia c. Italie </w:t>
      </w:r>
      <w:r w:rsidRPr="000413E2">
        <w:t>(n</w:t>
      </w:r>
      <w:r w:rsidRPr="000413E2">
        <w:rPr>
          <w:vertAlign w:val="superscript"/>
        </w:rPr>
        <w:t>o</w:t>
      </w:r>
      <w:r w:rsidRPr="000413E2">
        <w:t xml:space="preserve"> </w:t>
      </w:r>
      <w:hyperlink r:id="rId16" w:anchor="{&quot;appno&quot;:[&quot;53377/13&quot;]}" w:tgtFrame="_blank" w:history="1">
        <w:r w:rsidRPr="000413E2">
          <w:t>53377/13</w:t>
        </w:r>
      </w:hyperlink>
      <w:r w:rsidRPr="000413E2">
        <w:t>, §§ 73-78, 23 juin 2016).</w:t>
      </w:r>
    </w:p>
    <w:p w:rsidR="00025024" w:rsidRPr="000413E2" w:rsidRDefault="00025024" w:rsidP="000413E2">
      <w:pPr>
        <w:pStyle w:val="JuPara"/>
      </w:pPr>
      <w:r w:rsidRPr="000413E2">
        <w:fldChar w:fldCharType="begin"/>
      </w:r>
      <w:r w:rsidRPr="000413E2">
        <w:instrText xml:space="preserve"> SEQ level0 \*arabic </w:instrText>
      </w:r>
      <w:r w:rsidRPr="000413E2">
        <w:fldChar w:fldCharType="separate"/>
      </w:r>
      <w:r w:rsidR="000413E2" w:rsidRPr="000413E2">
        <w:rPr>
          <w:noProof/>
        </w:rPr>
        <w:t>37</w:t>
      </w:r>
      <w:r w:rsidRPr="000413E2">
        <w:fldChar w:fldCharType="end"/>
      </w:r>
      <w:r w:rsidRPr="000413E2">
        <w:t>.  Aux termes de l</w:t>
      </w:r>
      <w:r w:rsidR="000413E2" w:rsidRPr="000413E2">
        <w:t>’</w:t>
      </w:r>
      <w:r w:rsidRPr="000413E2">
        <w:t>article 337 </w:t>
      </w:r>
      <w:r w:rsidRPr="000413E2">
        <w:rPr>
          <w:i/>
        </w:rPr>
        <w:t>ter</w:t>
      </w:r>
      <w:r w:rsidRPr="000413E2">
        <w:t>, premier alinéa, du code civil, l</w:t>
      </w:r>
      <w:r w:rsidR="000413E2" w:rsidRPr="000413E2">
        <w:t>’</w:t>
      </w:r>
      <w:r w:rsidRPr="000413E2">
        <w:t>enfant mineur a le droit d</w:t>
      </w:r>
      <w:r w:rsidR="000413E2" w:rsidRPr="000413E2">
        <w:t>’</w:t>
      </w:r>
      <w:r w:rsidRPr="000413E2">
        <w:t>entretenir une relation équilibrée et continue avec chacun de ses parents, de recevoir des soins, une éducation et une assistance morale de la part de ses deux parents et d</w:t>
      </w:r>
      <w:r w:rsidR="000413E2" w:rsidRPr="000413E2">
        <w:t>’</w:t>
      </w:r>
      <w:r w:rsidRPr="000413E2">
        <w:t>entretenir des relations significatives avec les ascendants et les parents de chaque branche parentale. D</w:t>
      </w:r>
      <w:r w:rsidR="000413E2" w:rsidRPr="000413E2">
        <w:t>’</w:t>
      </w:r>
      <w:r w:rsidRPr="000413E2">
        <w:t>après le deuxième alinéa du même article, pour atteindre le but indiqué au premier alinéa, dans les procédures visées à l</w:t>
      </w:r>
      <w:r w:rsidR="000413E2" w:rsidRPr="000413E2">
        <w:t>’</w:t>
      </w:r>
      <w:r w:rsidRPr="000413E2">
        <w:t>article 337 </w:t>
      </w:r>
      <w:r w:rsidRPr="000413E2">
        <w:rPr>
          <w:i/>
          <w:iCs/>
        </w:rPr>
        <w:t>bis</w:t>
      </w:r>
      <w:r w:rsidRPr="000413E2">
        <w:t xml:space="preserve"> du code civil, le juge adopte les mesures relatives aux descendants en se référant exclusivement à leurs intérêts moraux et matériels. Le juge donne la </w:t>
      </w:r>
      <w:r w:rsidRPr="000413E2">
        <w:lastRenderedPageBreak/>
        <w:t>priorité à la possibilité pour les enfants mineurs de rester sous la garde des deux parents, ou, à défaut, il décide à qui les enfants doivent être confiés et détermine le moment et les modalités de leur présence auprès de chaque parent, ainsi que la mesure et les modalités selon lesquelles chacun des parents doit contribuer à l</w:t>
      </w:r>
      <w:r w:rsidR="000413E2" w:rsidRPr="000413E2">
        <w:t>’</w:t>
      </w:r>
      <w:r w:rsidRPr="000413E2">
        <w:t>entretien, aux soins, à l</w:t>
      </w:r>
      <w:r w:rsidR="000413E2" w:rsidRPr="000413E2">
        <w:t>’</w:t>
      </w:r>
      <w:r w:rsidRPr="000413E2">
        <w:t>éducation et à l</w:t>
      </w:r>
      <w:r w:rsidR="000413E2" w:rsidRPr="000413E2">
        <w:t>’</w:t>
      </w:r>
      <w:r w:rsidRPr="000413E2">
        <w:t>instruction des enfants. Le juge peut modifier les modalités de garde et prendre acte des différents accords intervenus entre les parties.</w:t>
      </w:r>
    </w:p>
    <w:p w:rsidR="00025024" w:rsidRPr="000413E2" w:rsidRDefault="00025024" w:rsidP="000413E2">
      <w:pPr>
        <w:pStyle w:val="JuPara"/>
      </w:pPr>
      <w:r w:rsidRPr="000413E2">
        <w:t>Le juge du fond est compétent pour la mise en œuvre des décisions relatives à aux modalités de garde et peut intervenir également d</w:t>
      </w:r>
      <w:r w:rsidR="000413E2" w:rsidRPr="000413E2">
        <w:t>’</w:t>
      </w:r>
      <w:r w:rsidRPr="000413E2">
        <w:t>office en cas de placement familial. À cet effet, une copie de la décision de placement est envoyée par le procureur de la République au juge des tutelles.</w:t>
      </w:r>
    </w:p>
    <w:p w:rsidR="00025024" w:rsidRPr="000413E2" w:rsidRDefault="00025024" w:rsidP="000413E2">
      <w:pPr>
        <w:pStyle w:val="JuHHead"/>
        <w:jc w:val="both"/>
      </w:pPr>
      <w:bookmarkStart w:id="10" w:name="_Hlk36127250"/>
      <w:bookmarkEnd w:id="5"/>
      <w:r w:rsidRPr="000413E2">
        <w:t>EN DROIT</w:t>
      </w:r>
    </w:p>
    <w:p w:rsidR="00025024" w:rsidRPr="000413E2" w:rsidRDefault="00025024" w:rsidP="000413E2">
      <w:pPr>
        <w:pStyle w:val="JuHIRoman"/>
        <w:rPr>
          <w:lang w:val="fr-FR"/>
        </w:rPr>
      </w:pPr>
      <w:bookmarkStart w:id="11" w:name="_Hlk36127423"/>
      <w:bookmarkStart w:id="12" w:name="_Hlk34839031"/>
      <w:bookmarkEnd w:id="10"/>
      <w:r w:rsidRPr="000413E2">
        <w:rPr>
          <w:lang w:val="fr-FR"/>
        </w:rPr>
        <w:t>SUR LA VIOLATION ALLÉGUÉE DE L</w:t>
      </w:r>
      <w:r w:rsidR="000413E2" w:rsidRPr="000413E2">
        <w:rPr>
          <w:lang w:val="fr-FR"/>
        </w:rPr>
        <w:t>’</w:t>
      </w:r>
      <w:r w:rsidRPr="000413E2">
        <w:rPr>
          <w:lang w:val="fr-FR"/>
        </w:rPr>
        <w:t>ARTICLE 8 DE LA CONVENTION</w:t>
      </w:r>
      <w:bookmarkEnd w:id="11"/>
    </w:p>
    <w:p w:rsidR="00025024" w:rsidRPr="000413E2" w:rsidRDefault="00025024" w:rsidP="000413E2">
      <w:pPr>
        <w:pStyle w:val="JuPara"/>
      </w:pPr>
      <w:r w:rsidRPr="000413E2">
        <w:fldChar w:fldCharType="begin"/>
      </w:r>
      <w:r w:rsidRPr="000413E2">
        <w:instrText xml:space="preserve"> SEQ level0 \*arabic </w:instrText>
      </w:r>
      <w:r w:rsidRPr="000413E2">
        <w:fldChar w:fldCharType="separate"/>
      </w:r>
      <w:r w:rsidR="000413E2" w:rsidRPr="000413E2">
        <w:rPr>
          <w:noProof/>
        </w:rPr>
        <w:t>38</w:t>
      </w:r>
      <w:r w:rsidRPr="000413E2">
        <w:fldChar w:fldCharType="end"/>
      </w:r>
      <w:r w:rsidRPr="000413E2">
        <w:t>.  Le requérant se plaint</w:t>
      </w:r>
      <w:bookmarkStart w:id="13" w:name="_Hlk36127488"/>
      <w:r w:rsidRPr="000413E2">
        <w:t xml:space="preserve"> de ce que l</w:t>
      </w:r>
      <w:r w:rsidR="000413E2" w:rsidRPr="000413E2">
        <w:t>’</w:t>
      </w:r>
      <w:r w:rsidRPr="000413E2">
        <w:t>État n</w:t>
      </w:r>
      <w:r w:rsidR="000413E2" w:rsidRPr="000413E2">
        <w:t>’</w:t>
      </w:r>
      <w:r w:rsidRPr="000413E2">
        <w:t>ait pas adopté des mesures positives afin de faire exécuter son droit de visite dans les conditions qui avaient été fixées par les juridictions nationales depuis 2010.</w:t>
      </w:r>
      <w:bookmarkEnd w:id="13"/>
      <w:r w:rsidRPr="000413E2">
        <w:t xml:space="preserve"> Il se plaint également du retard dans la mise en œuvre des décisions des juridictions internes. Il invoque </w:t>
      </w:r>
      <w:bookmarkStart w:id="14" w:name="_Hlk36127508"/>
      <w:r w:rsidRPr="000413E2">
        <w:t>l</w:t>
      </w:r>
      <w:r w:rsidR="000413E2" w:rsidRPr="000413E2">
        <w:t>’</w:t>
      </w:r>
      <w:r w:rsidRPr="000413E2">
        <w:t>article 8 de la Convention, qui est ainsi libellé :</w:t>
      </w:r>
    </w:p>
    <w:p w:rsidR="00025024" w:rsidRPr="000413E2" w:rsidRDefault="00025024" w:rsidP="000413E2">
      <w:pPr>
        <w:pStyle w:val="JuQuot"/>
      </w:pPr>
      <w:bookmarkStart w:id="15" w:name="_Hlk36127545"/>
      <w:bookmarkEnd w:id="14"/>
      <w:r w:rsidRPr="000413E2">
        <w:t>« 1.  Toute personne a droit au respect de sa vie privée et familiale, de son domicile et de sa correspondance.</w:t>
      </w:r>
    </w:p>
    <w:p w:rsidR="00025024" w:rsidRPr="000413E2" w:rsidRDefault="00025024" w:rsidP="000413E2">
      <w:pPr>
        <w:pStyle w:val="JuQuot"/>
      </w:pPr>
      <w:r w:rsidRPr="000413E2">
        <w:t>2.  Il ne peut y avoir ingérence d</w:t>
      </w:r>
      <w:r w:rsidR="000413E2" w:rsidRPr="000413E2">
        <w:t>’</w:t>
      </w:r>
      <w:r w:rsidRPr="000413E2">
        <w:t>une autorité publique dans l</w:t>
      </w:r>
      <w:r w:rsidR="000413E2" w:rsidRPr="000413E2">
        <w:t>’</w:t>
      </w:r>
      <w:r w:rsidRPr="000413E2">
        <w:t>exercice de ce droit que pour autant que cette ingérence est prévue par la loi et qu</w:t>
      </w:r>
      <w:r w:rsidR="000413E2" w:rsidRPr="000413E2">
        <w:t>’</w:t>
      </w:r>
      <w:r w:rsidRPr="000413E2">
        <w:t>elle constitue une mesure qui, dans une société démocratique, est nécessaire à la sécurité nationale, à la sûreté publique, au bien</w:t>
      </w:r>
      <w:r w:rsidRPr="000413E2">
        <w:noBreakHyphen/>
        <w:t>être économique du pays, à la défense de l</w:t>
      </w:r>
      <w:r w:rsidR="000413E2" w:rsidRPr="000413E2">
        <w:t>’</w:t>
      </w:r>
      <w:r w:rsidRPr="000413E2">
        <w:t>ordre et à la prévention des infractions pénales, à la protection de la santé ou de la morale, ou à la protection des droits et libertés d</w:t>
      </w:r>
      <w:r w:rsidR="000413E2" w:rsidRPr="000413E2">
        <w:t>’</w:t>
      </w:r>
      <w:r w:rsidRPr="000413E2">
        <w:t>autrui. »</w:t>
      </w:r>
    </w:p>
    <w:p w:rsidR="00025024" w:rsidRPr="000413E2" w:rsidRDefault="00025024" w:rsidP="000413E2">
      <w:pPr>
        <w:pStyle w:val="JuHA"/>
        <w:numPr>
          <w:ilvl w:val="2"/>
          <w:numId w:val="2"/>
        </w:numPr>
        <w:jc w:val="both"/>
      </w:pPr>
      <w:r w:rsidRPr="000413E2">
        <w:t>Sur la recevabilité</w:t>
      </w:r>
      <w:bookmarkEnd w:id="15"/>
    </w:p>
    <w:p w:rsidR="00025024" w:rsidRPr="000413E2" w:rsidRDefault="00025024" w:rsidP="000413E2">
      <w:pPr>
        <w:pStyle w:val="JuPara"/>
      </w:pPr>
      <w:r w:rsidRPr="000413E2">
        <w:fldChar w:fldCharType="begin"/>
      </w:r>
      <w:r w:rsidRPr="000413E2">
        <w:instrText xml:space="preserve"> SEQ level0 \*arabic </w:instrText>
      </w:r>
      <w:r w:rsidRPr="000413E2">
        <w:fldChar w:fldCharType="separate"/>
      </w:r>
      <w:r w:rsidR="000413E2" w:rsidRPr="000413E2">
        <w:rPr>
          <w:noProof/>
        </w:rPr>
        <w:t>39</w:t>
      </w:r>
      <w:r w:rsidRPr="000413E2">
        <w:fldChar w:fldCharType="end"/>
      </w:r>
      <w:r w:rsidRPr="000413E2">
        <w:t>.  </w:t>
      </w:r>
      <w:bookmarkStart w:id="16" w:name="_Hlk36127558"/>
      <w:r w:rsidRPr="000413E2">
        <w:t>Le Gouvernement estime que l</w:t>
      </w:r>
      <w:r w:rsidR="000413E2" w:rsidRPr="000413E2">
        <w:t>’</w:t>
      </w:r>
      <w:r w:rsidRPr="000413E2">
        <w:t>objet de l</w:t>
      </w:r>
      <w:r w:rsidR="000413E2" w:rsidRPr="000413E2">
        <w:t>’</w:t>
      </w:r>
      <w:r w:rsidRPr="000413E2">
        <w:t>affaire doit être limité à la procédure introduite par le procureur devant le tribunal pour enfants le 20</w:t>
      </w:r>
      <w:r w:rsidR="001A68CF" w:rsidRPr="000413E2">
        <w:t> </w:t>
      </w:r>
      <w:r w:rsidRPr="000413E2">
        <w:t>janvier 2015 et qui a pris fin le 1</w:t>
      </w:r>
      <w:r w:rsidRPr="000413E2">
        <w:rPr>
          <w:vertAlign w:val="superscript"/>
        </w:rPr>
        <w:t>er</w:t>
      </w:r>
      <w:r w:rsidRPr="000413E2">
        <w:t xml:space="preserve"> mars 2018. Il considère que la procédure </w:t>
      </w:r>
      <w:bookmarkEnd w:id="16"/>
      <w:r w:rsidRPr="000413E2">
        <w:t>pendante devant le tribunal pour enfants à partir de 2010 et celle devant le juge des tutelles sont irrecevables pour non-respect du délai de six mois.</w:t>
      </w:r>
    </w:p>
    <w:p w:rsidR="00025024" w:rsidRPr="000413E2" w:rsidRDefault="00025024" w:rsidP="000413E2">
      <w:pPr>
        <w:pStyle w:val="JuPara"/>
      </w:pPr>
      <w:r w:rsidRPr="000413E2">
        <w:fldChar w:fldCharType="begin"/>
      </w:r>
      <w:r w:rsidRPr="000413E2">
        <w:instrText xml:space="preserve"> SEQ level0 \*arabic </w:instrText>
      </w:r>
      <w:r w:rsidRPr="000413E2">
        <w:fldChar w:fldCharType="separate"/>
      </w:r>
      <w:r w:rsidR="000413E2" w:rsidRPr="000413E2">
        <w:rPr>
          <w:noProof/>
        </w:rPr>
        <w:t>40</w:t>
      </w:r>
      <w:r w:rsidRPr="000413E2">
        <w:fldChar w:fldCharType="end"/>
      </w:r>
      <w:r w:rsidRPr="000413E2">
        <w:t>.  Le requérant conteste l</w:t>
      </w:r>
      <w:r w:rsidR="000413E2" w:rsidRPr="000413E2">
        <w:t>’</w:t>
      </w:r>
      <w:r w:rsidRPr="000413E2">
        <w:t>exception du Gouvernement et soutient qu</w:t>
      </w:r>
      <w:r w:rsidR="000413E2" w:rsidRPr="000413E2">
        <w:t>’</w:t>
      </w:r>
      <w:r w:rsidRPr="000413E2">
        <w:t>il s</w:t>
      </w:r>
      <w:r w:rsidR="000413E2" w:rsidRPr="000413E2">
        <w:t>’</w:t>
      </w:r>
      <w:r w:rsidRPr="000413E2">
        <w:t>agissait d</w:t>
      </w:r>
      <w:r w:rsidR="000413E2" w:rsidRPr="000413E2">
        <w:t>’</w:t>
      </w:r>
      <w:r w:rsidRPr="000413E2">
        <w:t>une situation continue ayant perduré de 2010 à 2016 : le jugement du tribunal de Rome ne représentait selon lui que la fin d</w:t>
      </w:r>
      <w:r w:rsidR="000413E2" w:rsidRPr="000413E2">
        <w:t>’</w:t>
      </w:r>
      <w:r w:rsidRPr="000413E2">
        <w:t>une longue procédure judiciaire entamée pour demander l</w:t>
      </w:r>
      <w:r w:rsidR="000413E2" w:rsidRPr="000413E2">
        <w:t>’</w:t>
      </w:r>
      <w:r w:rsidRPr="000413E2">
        <w:t>exécution de son droit de visite.</w:t>
      </w:r>
    </w:p>
    <w:bookmarkStart w:id="17" w:name="lt_pId1320"/>
    <w:p w:rsidR="00025024" w:rsidRPr="000413E2" w:rsidRDefault="00025024" w:rsidP="000413E2">
      <w:pPr>
        <w:pStyle w:val="JuPara"/>
      </w:pPr>
      <w:r w:rsidRPr="000413E2">
        <w:rPr>
          <w:rFonts w:eastAsiaTheme="majorEastAsia"/>
        </w:rPr>
        <w:lastRenderedPageBreak/>
        <w:fldChar w:fldCharType="begin"/>
      </w:r>
      <w:r w:rsidRPr="000413E2">
        <w:rPr>
          <w:rFonts w:eastAsiaTheme="majorEastAsia"/>
        </w:rPr>
        <w:instrText xml:space="preserve"> SEQ level0 \*arabic </w:instrText>
      </w:r>
      <w:r w:rsidRPr="000413E2">
        <w:rPr>
          <w:rFonts w:eastAsiaTheme="majorEastAsia"/>
        </w:rPr>
        <w:fldChar w:fldCharType="separate"/>
      </w:r>
      <w:r w:rsidR="000413E2" w:rsidRPr="000413E2">
        <w:rPr>
          <w:rFonts w:eastAsiaTheme="majorEastAsia"/>
          <w:noProof/>
        </w:rPr>
        <w:t>41</w:t>
      </w:r>
      <w:r w:rsidRPr="000413E2">
        <w:rPr>
          <w:rFonts w:eastAsiaTheme="majorEastAsia"/>
        </w:rPr>
        <w:fldChar w:fldCharType="end"/>
      </w:r>
      <w:r w:rsidRPr="000413E2">
        <w:rPr>
          <w:rFonts w:eastAsiaTheme="majorEastAsia"/>
        </w:rPr>
        <w:t>.  La Cour note que la procédure devant le tribunal pour enfants a commencé en 2010 et que, dans son recours devant le tribunal pour enfants en 2015, le procureur a demandé l</w:t>
      </w:r>
      <w:r w:rsidR="000413E2" w:rsidRPr="000413E2">
        <w:rPr>
          <w:rFonts w:eastAsiaTheme="majorEastAsia"/>
        </w:rPr>
        <w:t>’</w:t>
      </w:r>
      <w:r w:rsidRPr="000413E2">
        <w:rPr>
          <w:rFonts w:eastAsiaTheme="majorEastAsia"/>
        </w:rPr>
        <w:t xml:space="preserve">exécution de la décision du tribunal de 2012 qui avait déjà réglementé le droit de visite du requérant. La Cour rappelle avoir déjà affirmé dans ses précédents arrêts que </w:t>
      </w:r>
      <w:r w:rsidRPr="000413E2">
        <w:t>les décisions du tribunal pour enfants portant notamment sur le droit de visite ne revêtent pas un caractère définitif et qu</w:t>
      </w:r>
      <w:r w:rsidR="000413E2" w:rsidRPr="000413E2">
        <w:t>’</w:t>
      </w:r>
      <w:r w:rsidRPr="000413E2">
        <w:t>elles peuvent, dès lors, être modifiées à tout moment en fonction des événements liés à la situation litigieuse (</w:t>
      </w:r>
      <w:r w:rsidRPr="000413E2">
        <w:rPr>
          <w:i/>
        </w:rPr>
        <w:t>Lombardo c.</w:t>
      </w:r>
      <w:r w:rsidR="001A68CF" w:rsidRPr="000413E2">
        <w:rPr>
          <w:i/>
        </w:rPr>
        <w:t> </w:t>
      </w:r>
      <w:r w:rsidRPr="000413E2">
        <w:rPr>
          <w:i/>
        </w:rPr>
        <w:t>Italie</w:t>
      </w:r>
      <w:r w:rsidRPr="000413E2">
        <w:t>, n</w:t>
      </w:r>
      <w:r w:rsidRPr="000413E2">
        <w:rPr>
          <w:vertAlign w:val="superscript"/>
        </w:rPr>
        <w:t>o </w:t>
      </w:r>
      <w:r w:rsidRPr="000413E2">
        <w:t xml:space="preserve">25704/11, § 63, 29 janvier 2013, et </w:t>
      </w:r>
      <w:r w:rsidRPr="000413E2">
        <w:rPr>
          <w:i/>
        </w:rPr>
        <w:t>Nicolò Santilli c. Italie</w:t>
      </w:r>
      <w:r w:rsidRPr="000413E2">
        <w:t>, n</w:t>
      </w:r>
      <w:r w:rsidRPr="000413E2">
        <w:rPr>
          <w:vertAlign w:val="superscript"/>
        </w:rPr>
        <w:t>o</w:t>
      </w:r>
      <w:r w:rsidRPr="000413E2">
        <w:t> 51930/10</w:t>
      </w:r>
      <w:r w:rsidRPr="000413E2">
        <w:rPr>
          <w:snapToGrid w:val="0"/>
        </w:rPr>
        <w:t xml:space="preserve">, § 45, 17 </w:t>
      </w:r>
      <w:r w:rsidRPr="000413E2">
        <w:t>décembre</w:t>
      </w:r>
      <w:r w:rsidRPr="000413E2">
        <w:rPr>
          <w:snapToGrid w:val="0"/>
        </w:rPr>
        <w:t xml:space="preserve"> 2013).</w:t>
      </w:r>
    </w:p>
    <w:p w:rsidR="00025024" w:rsidRPr="000413E2" w:rsidRDefault="00025024" w:rsidP="000413E2">
      <w:pPr>
        <w:pStyle w:val="JuPara"/>
      </w:pPr>
      <w:r w:rsidRPr="000413E2">
        <w:rPr>
          <w:rFonts w:eastAsiaTheme="majorEastAsia"/>
        </w:rPr>
        <w:fldChar w:fldCharType="begin"/>
      </w:r>
      <w:r w:rsidRPr="000413E2">
        <w:rPr>
          <w:rFonts w:eastAsiaTheme="majorEastAsia"/>
        </w:rPr>
        <w:instrText xml:space="preserve"> SEQ level0 \*arabic </w:instrText>
      </w:r>
      <w:r w:rsidRPr="000413E2">
        <w:rPr>
          <w:rFonts w:eastAsiaTheme="majorEastAsia"/>
        </w:rPr>
        <w:fldChar w:fldCharType="separate"/>
      </w:r>
      <w:r w:rsidR="000413E2" w:rsidRPr="000413E2">
        <w:rPr>
          <w:rFonts w:eastAsiaTheme="majorEastAsia"/>
          <w:noProof/>
        </w:rPr>
        <w:t>42</w:t>
      </w:r>
      <w:r w:rsidRPr="000413E2">
        <w:rPr>
          <w:rFonts w:eastAsiaTheme="majorEastAsia"/>
        </w:rPr>
        <w:fldChar w:fldCharType="end"/>
      </w:r>
      <w:r w:rsidRPr="000413E2">
        <w:rPr>
          <w:rFonts w:eastAsiaTheme="majorEastAsia"/>
        </w:rPr>
        <w:t>.  La Cour est d</w:t>
      </w:r>
      <w:r w:rsidR="000413E2" w:rsidRPr="000413E2">
        <w:rPr>
          <w:rFonts w:eastAsiaTheme="majorEastAsia"/>
        </w:rPr>
        <w:t>’</w:t>
      </w:r>
      <w:r w:rsidRPr="000413E2">
        <w:rPr>
          <w:rFonts w:eastAsiaTheme="majorEastAsia"/>
        </w:rPr>
        <w:t>avis que la procédure s</w:t>
      </w:r>
      <w:r w:rsidR="000413E2" w:rsidRPr="000413E2">
        <w:rPr>
          <w:rFonts w:eastAsiaTheme="majorEastAsia"/>
        </w:rPr>
        <w:t>’</w:t>
      </w:r>
      <w:r w:rsidRPr="000413E2">
        <w:rPr>
          <w:rFonts w:eastAsiaTheme="majorEastAsia"/>
        </w:rPr>
        <w:t>étant déroulée de 2012 à 2015 doit être considérée comme un élément du grief initial présenté par le requérant devant elle.</w:t>
      </w:r>
      <w:bookmarkEnd w:id="17"/>
      <w:r w:rsidRPr="000413E2">
        <w:rPr>
          <w:rFonts w:eastAsiaTheme="majorEastAsia"/>
        </w:rPr>
        <w:t xml:space="preserve"> </w:t>
      </w:r>
      <w:bookmarkStart w:id="18" w:name="lt_pId1309"/>
      <w:r w:rsidRPr="000413E2">
        <w:rPr>
          <w:rFonts w:eastAsiaTheme="majorEastAsia"/>
        </w:rPr>
        <w:t>Elle estime en particulier que, lorsqu</w:t>
      </w:r>
      <w:r w:rsidR="000413E2" w:rsidRPr="000413E2">
        <w:rPr>
          <w:rFonts w:eastAsiaTheme="majorEastAsia"/>
        </w:rPr>
        <w:t>’</w:t>
      </w:r>
      <w:r w:rsidRPr="000413E2">
        <w:rPr>
          <w:rFonts w:eastAsiaTheme="majorEastAsia"/>
        </w:rPr>
        <w:t>elle</w:t>
      </w:r>
      <w:r w:rsidRPr="000413E2">
        <w:t xml:space="preserve"> examinera la procédure introduite par le procureur devant le tribunal en 2015, laquelle a conduit à la décision de placement de l</w:t>
      </w:r>
      <w:r w:rsidR="000413E2" w:rsidRPr="000413E2">
        <w:t>’</w:t>
      </w:r>
      <w:r w:rsidRPr="000413E2">
        <w:t>enfant en 2016, elle devra replacer cette procédure et les décisions dans leur contexte, ce qui la conduira inévitablement à s</w:t>
      </w:r>
      <w:r w:rsidR="000413E2" w:rsidRPr="000413E2">
        <w:t>’</w:t>
      </w:r>
      <w:r w:rsidRPr="000413E2">
        <w:t>intéresser dans une certaine mesure aux procédures et décisions antérieures</w:t>
      </w:r>
      <w:bookmarkEnd w:id="18"/>
      <w:r w:rsidRPr="000413E2">
        <w:t xml:space="preserve"> (</w:t>
      </w:r>
      <w:r w:rsidRPr="000413E2">
        <w:rPr>
          <w:rFonts w:cs="Times New Roman"/>
          <w:i/>
        </w:rPr>
        <w:t xml:space="preserve">Strand Lobben </w:t>
      </w:r>
      <w:r w:rsidRPr="000413E2">
        <w:rPr>
          <w:rFonts w:cs="Times New Roman"/>
          <w:i/>
          <w:iCs/>
        </w:rPr>
        <w:t>et autres c. Norvège</w:t>
      </w:r>
      <w:r w:rsidRPr="000413E2">
        <w:rPr>
          <w:rFonts w:cs="Times New Roman"/>
        </w:rPr>
        <w:t xml:space="preserve"> [GC], n</w:t>
      </w:r>
      <w:r w:rsidRPr="000413E2">
        <w:rPr>
          <w:rFonts w:cs="Times New Roman"/>
          <w:vertAlign w:val="superscript"/>
        </w:rPr>
        <w:t>o</w:t>
      </w:r>
      <w:r w:rsidRPr="000413E2">
        <w:rPr>
          <w:rFonts w:cs="Times New Roman"/>
        </w:rPr>
        <w:t> 37283/13, § 148, 10 septembre 2019).</w:t>
      </w:r>
    </w:p>
    <w:p w:rsidR="00025024" w:rsidRPr="000413E2" w:rsidRDefault="00025024" w:rsidP="000413E2">
      <w:pPr>
        <w:pStyle w:val="JuPara"/>
      </w:pPr>
      <w:r w:rsidRPr="000413E2">
        <w:fldChar w:fldCharType="begin"/>
      </w:r>
      <w:r w:rsidRPr="000413E2">
        <w:instrText xml:space="preserve"> SEQ level0 \*arabic </w:instrText>
      </w:r>
      <w:r w:rsidRPr="000413E2">
        <w:fldChar w:fldCharType="separate"/>
      </w:r>
      <w:r w:rsidR="000413E2" w:rsidRPr="000413E2">
        <w:rPr>
          <w:noProof/>
        </w:rPr>
        <w:t>43</w:t>
      </w:r>
      <w:r w:rsidRPr="000413E2">
        <w:fldChar w:fldCharType="end"/>
      </w:r>
      <w:r w:rsidRPr="000413E2">
        <w:t>.  </w:t>
      </w:r>
      <w:bookmarkStart w:id="19" w:name="_Hlk36127606"/>
      <w:r w:rsidRPr="000413E2">
        <w:t>Constatant que la requête n</w:t>
      </w:r>
      <w:r w:rsidR="000413E2" w:rsidRPr="000413E2">
        <w:t>’</w:t>
      </w:r>
      <w:r w:rsidRPr="000413E2">
        <w:t>est pas manifestement mal fondée ni irrecevable pour un autre motif visé à l</w:t>
      </w:r>
      <w:r w:rsidR="000413E2" w:rsidRPr="000413E2">
        <w:t>’</w:t>
      </w:r>
      <w:r w:rsidRPr="000413E2">
        <w:t>article 35 de la Convention, la Cour la déclare recevable</w:t>
      </w:r>
      <w:bookmarkEnd w:id="19"/>
      <w:r w:rsidRPr="000413E2">
        <w:t>.</w:t>
      </w:r>
    </w:p>
    <w:p w:rsidR="00025024" w:rsidRPr="000413E2" w:rsidRDefault="00025024" w:rsidP="000413E2">
      <w:pPr>
        <w:pStyle w:val="JuHA"/>
        <w:numPr>
          <w:ilvl w:val="2"/>
          <w:numId w:val="2"/>
        </w:numPr>
        <w:jc w:val="both"/>
      </w:pPr>
      <w:bookmarkStart w:id="20" w:name="_Hlk36127650"/>
      <w:r w:rsidRPr="000413E2">
        <w:t>Sur le fond</w:t>
      </w:r>
      <w:bookmarkEnd w:id="20"/>
    </w:p>
    <w:p w:rsidR="00025024" w:rsidRPr="000413E2" w:rsidRDefault="00025024" w:rsidP="000413E2">
      <w:pPr>
        <w:pStyle w:val="JuH1"/>
        <w:jc w:val="both"/>
      </w:pPr>
      <w:r w:rsidRPr="000413E2">
        <w:t>Thèses des parties</w:t>
      </w:r>
    </w:p>
    <w:p w:rsidR="00025024" w:rsidRPr="000413E2" w:rsidRDefault="00025024" w:rsidP="000413E2">
      <w:pPr>
        <w:pStyle w:val="JuPara"/>
      </w:pPr>
      <w:r w:rsidRPr="000413E2">
        <w:fldChar w:fldCharType="begin"/>
      </w:r>
      <w:r w:rsidRPr="000413E2">
        <w:instrText xml:space="preserve"> SEQ level0 \*arabic </w:instrText>
      </w:r>
      <w:r w:rsidRPr="000413E2">
        <w:fldChar w:fldCharType="separate"/>
      </w:r>
      <w:r w:rsidR="000413E2" w:rsidRPr="000413E2">
        <w:rPr>
          <w:noProof/>
        </w:rPr>
        <w:t>44</w:t>
      </w:r>
      <w:r w:rsidRPr="000413E2">
        <w:fldChar w:fldCharType="end"/>
      </w:r>
      <w:r w:rsidRPr="000413E2">
        <w:t>.  Le requérant déclare que les autorités italiennes n</w:t>
      </w:r>
      <w:r w:rsidR="000413E2" w:rsidRPr="000413E2">
        <w:t>’</w:t>
      </w:r>
      <w:r w:rsidRPr="000413E2">
        <w:t>ont pas correctement mis en œuvre les décisions des autorités compétentes. À cet égard, il indique que l</w:t>
      </w:r>
      <w:r w:rsidR="000413E2" w:rsidRPr="000413E2">
        <w:t>’</w:t>
      </w:r>
      <w:r w:rsidRPr="000413E2">
        <w:t>évaluation des compétences parentales et de l</w:t>
      </w:r>
      <w:r w:rsidR="000413E2" w:rsidRPr="000413E2">
        <w:t>’</w:t>
      </w:r>
      <w:r w:rsidRPr="000413E2">
        <w:t>état psychologique de l</w:t>
      </w:r>
      <w:r w:rsidR="000413E2" w:rsidRPr="000413E2">
        <w:t>’</w:t>
      </w:r>
      <w:r w:rsidRPr="000413E2">
        <w:t>enfant devait être finalisée avant le 30 décembre 2015, mais que le rapport a été finalement déposé en octobre 2016, soit dix mois plus tard, en raison de problèmes structurels du système italien qui auraient entraîné la fermeture de deux centres spécialisés.</w:t>
      </w:r>
    </w:p>
    <w:p w:rsidR="00025024" w:rsidRPr="000413E2" w:rsidRDefault="00025024" w:rsidP="000413E2">
      <w:pPr>
        <w:pStyle w:val="JuPara"/>
      </w:pPr>
      <w:r w:rsidRPr="000413E2">
        <w:fldChar w:fldCharType="begin"/>
      </w:r>
      <w:r w:rsidRPr="000413E2">
        <w:instrText xml:space="preserve"> SEQ level0 \*arabic </w:instrText>
      </w:r>
      <w:r w:rsidRPr="000413E2">
        <w:fldChar w:fldCharType="separate"/>
      </w:r>
      <w:r w:rsidR="000413E2" w:rsidRPr="000413E2">
        <w:rPr>
          <w:noProof/>
        </w:rPr>
        <w:t>45</w:t>
      </w:r>
      <w:r w:rsidRPr="000413E2">
        <w:fldChar w:fldCharType="end"/>
      </w:r>
      <w:r w:rsidRPr="000413E2">
        <w:t>.  Le requérant tient à déclarer que c</w:t>
      </w:r>
      <w:r w:rsidR="000413E2" w:rsidRPr="000413E2">
        <w:t>’</w:t>
      </w:r>
      <w:r w:rsidRPr="000413E2">
        <w:t>est à la suite de cette expertise que l</w:t>
      </w:r>
      <w:r w:rsidR="000413E2" w:rsidRPr="000413E2">
        <w:t>’</w:t>
      </w:r>
      <w:r w:rsidRPr="000413E2">
        <w:t>enfant a pu être pris en charge et placé en institut. Il argue que ce retard dans la mise en place de l</w:t>
      </w:r>
      <w:r w:rsidR="000413E2" w:rsidRPr="000413E2">
        <w:t>’</w:t>
      </w:r>
      <w:r w:rsidRPr="000413E2">
        <w:t>évaluation des compétences parentales a conduit à la nécessité de procéder au placement de l</w:t>
      </w:r>
      <w:r w:rsidR="000413E2" w:rsidRPr="000413E2">
        <w:t>’</w:t>
      </w:r>
      <w:r w:rsidRPr="000413E2">
        <w:t>enfant, alors qu</w:t>
      </w:r>
      <w:r w:rsidR="000413E2" w:rsidRPr="000413E2">
        <w:t>’</w:t>
      </w:r>
      <w:r w:rsidRPr="000413E2">
        <w:t>une intervention et une aide plus rapides auraient pu permettre d</w:t>
      </w:r>
      <w:r w:rsidR="000413E2" w:rsidRPr="000413E2">
        <w:t>’</w:t>
      </w:r>
      <w:r w:rsidRPr="000413E2">
        <w:t>atteindre le même objectif sans procéder au placement.</w:t>
      </w:r>
    </w:p>
    <w:p w:rsidR="00025024" w:rsidRPr="000413E2" w:rsidRDefault="00025024" w:rsidP="000413E2">
      <w:pPr>
        <w:pStyle w:val="JuPara"/>
      </w:pPr>
      <w:r w:rsidRPr="000413E2">
        <w:fldChar w:fldCharType="begin"/>
      </w:r>
      <w:r w:rsidRPr="000413E2">
        <w:instrText xml:space="preserve"> SEQ level0 \*arabic </w:instrText>
      </w:r>
      <w:r w:rsidRPr="000413E2">
        <w:fldChar w:fldCharType="separate"/>
      </w:r>
      <w:r w:rsidR="000413E2" w:rsidRPr="000413E2">
        <w:rPr>
          <w:noProof/>
        </w:rPr>
        <w:t>46</w:t>
      </w:r>
      <w:r w:rsidRPr="000413E2">
        <w:fldChar w:fldCharType="end"/>
      </w:r>
      <w:r w:rsidRPr="000413E2">
        <w:t>.  Le requérant est d</w:t>
      </w:r>
      <w:r w:rsidR="000413E2" w:rsidRPr="000413E2">
        <w:t>’</w:t>
      </w:r>
      <w:r w:rsidRPr="000413E2">
        <w:t>avis que la fragmentation des compétences des juges (tribunal pour enfants et juge des tutelles) ainsi que la fermeture du centre spécialisé ont entravé la réalisation du projet d</w:t>
      </w:r>
      <w:r w:rsidR="000413E2" w:rsidRPr="000413E2">
        <w:t>’</w:t>
      </w:r>
      <w:r w:rsidRPr="000413E2">
        <w:t>aide à l</w:t>
      </w:r>
      <w:r w:rsidR="000413E2" w:rsidRPr="000413E2">
        <w:t>’</w:t>
      </w:r>
      <w:r w:rsidRPr="000413E2">
        <w:t>unité familiale dans un délai raisonnable.</w:t>
      </w:r>
    </w:p>
    <w:p w:rsidR="00025024" w:rsidRPr="000413E2" w:rsidRDefault="00025024" w:rsidP="000413E2">
      <w:pPr>
        <w:pStyle w:val="JuPara"/>
      </w:pPr>
      <w:r w:rsidRPr="000413E2">
        <w:lastRenderedPageBreak/>
        <w:fldChar w:fldCharType="begin"/>
      </w:r>
      <w:r w:rsidRPr="000413E2">
        <w:instrText xml:space="preserve"> SEQ level0 \*arabic </w:instrText>
      </w:r>
      <w:r w:rsidRPr="000413E2">
        <w:fldChar w:fldCharType="separate"/>
      </w:r>
      <w:r w:rsidR="000413E2" w:rsidRPr="000413E2">
        <w:rPr>
          <w:noProof/>
        </w:rPr>
        <w:t>47</w:t>
      </w:r>
      <w:r w:rsidRPr="000413E2">
        <w:fldChar w:fldCharType="end"/>
      </w:r>
      <w:r w:rsidRPr="000413E2">
        <w:t>.  Le Gouvernement indique que les services sociaux sont intervenus en 2010, et qu</w:t>
      </w:r>
      <w:r w:rsidR="000413E2" w:rsidRPr="000413E2">
        <w:t>’</w:t>
      </w:r>
      <w:r w:rsidRPr="000413E2">
        <w:t>ils ont aidé les parties à maintenir des relations équilibrées jusqu</w:t>
      </w:r>
      <w:r w:rsidR="000413E2" w:rsidRPr="000413E2">
        <w:t>’</w:t>
      </w:r>
      <w:r w:rsidRPr="000413E2">
        <w:t>au déménagement de la mère de l</w:t>
      </w:r>
      <w:r w:rsidR="000413E2" w:rsidRPr="000413E2">
        <w:t>’</w:t>
      </w:r>
      <w:r w:rsidRPr="000413E2">
        <w:t>enfant dans une autre ville. Il ajoute que le requérant n</w:t>
      </w:r>
      <w:r w:rsidR="000413E2" w:rsidRPr="000413E2">
        <w:t>’</w:t>
      </w:r>
      <w:r w:rsidRPr="000413E2">
        <w:t>a pas demandé l</w:t>
      </w:r>
      <w:r w:rsidR="000413E2" w:rsidRPr="000413E2">
        <w:t>’</w:t>
      </w:r>
      <w:r w:rsidRPr="000413E2">
        <w:t>exécution des dispositions du tribunal pour enfants mais que c</w:t>
      </w:r>
      <w:r w:rsidR="000413E2" w:rsidRPr="000413E2">
        <w:t>’</w:t>
      </w:r>
      <w:r w:rsidRPr="000413E2">
        <w:t>est la mère de l</w:t>
      </w:r>
      <w:r w:rsidR="000413E2" w:rsidRPr="000413E2">
        <w:t>’</w:t>
      </w:r>
      <w:r w:rsidRPr="000413E2">
        <w:t>enfant qui a décidé de saisir le juge des tutelles.</w:t>
      </w:r>
    </w:p>
    <w:p w:rsidR="00025024" w:rsidRPr="000413E2" w:rsidRDefault="00025024" w:rsidP="000413E2">
      <w:pPr>
        <w:pStyle w:val="JuPara"/>
      </w:pPr>
      <w:r w:rsidRPr="000413E2">
        <w:fldChar w:fldCharType="begin"/>
      </w:r>
      <w:r w:rsidRPr="000413E2">
        <w:instrText xml:space="preserve"> SEQ level0 \*arabic </w:instrText>
      </w:r>
      <w:r w:rsidRPr="000413E2">
        <w:fldChar w:fldCharType="separate"/>
      </w:r>
      <w:r w:rsidR="000413E2" w:rsidRPr="000413E2">
        <w:rPr>
          <w:noProof/>
        </w:rPr>
        <w:t>48</w:t>
      </w:r>
      <w:r w:rsidRPr="000413E2">
        <w:fldChar w:fldCharType="end"/>
      </w:r>
      <w:r w:rsidRPr="000413E2">
        <w:t>.  Le Gouvernement expose que, pendant cette période, les parties ont été aidées et assistées par des services spécialisés : plusieurs actions ont été entreprises pour surmonter la conflictualité parentale et le manque de collaboration. Il indique que c</w:t>
      </w:r>
      <w:r w:rsidR="000413E2" w:rsidRPr="000413E2">
        <w:t>’</w:t>
      </w:r>
      <w:r w:rsidRPr="000413E2">
        <w:t>est à la suite de la décision du juge des tutelles, qui a transmis le dossier au parquet près le tribunal pour enfants, que ce tribunal, après une expertise effectuée par un centre hautement spécialisé, a décidé que l</w:t>
      </w:r>
      <w:r w:rsidR="000413E2" w:rsidRPr="000413E2">
        <w:t>’</w:t>
      </w:r>
      <w:r w:rsidRPr="000413E2">
        <w:t>enfant devait être placé en institut.</w:t>
      </w:r>
    </w:p>
    <w:p w:rsidR="00025024" w:rsidRPr="000413E2" w:rsidRDefault="00025024" w:rsidP="000413E2">
      <w:pPr>
        <w:pStyle w:val="JuPara"/>
      </w:pPr>
      <w:r w:rsidRPr="000413E2">
        <w:fldChar w:fldCharType="begin"/>
      </w:r>
      <w:r w:rsidRPr="000413E2">
        <w:instrText xml:space="preserve"> SEQ level0 \*arabic </w:instrText>
      </w:r>
      <w:r w:rsidRPr="000413E2">
        <w:fldChar w:fldCharType="separate"/>
      </w:r>
      <w:r w:rsidR="000413E2" w:rsidRPr="000413E2">
        <w:rPr>
          <w:noProof/>
        </w:rPr>
        <w:t>49</w:t>
      </w:r>
      <w:r w:rsidRPr="000413E2">
        <w:fldChar w:fldCharType="end"/>
      </w:r>
      <w:r w:rsidRPr="000413E2">
        <w:t>.  Le Gouvernement estime que la famille a été suivie avec constance et attention. Il indique à cet égard que des mesures de plus en plus fortes ont été adoptées, jusqu</w:t>
      </w:r>
      <w:r w:rsidR="000413E2" w:rsidRPr="000413E2">
        <w:t>’</w:t>
      </w:r>
      <w:r w:rsidRPr="000413E2">
        <w:t>au placement de l</w:t>
      </w:r>
      <w:r w:rsidR="000413E2" w:rsidRPr="000413E2">
        <w:t>’</w:t>
      </w:r>
      <w:r w:rsidRPr="000413E2">
        <w:t>enfant, qui a duré 7 mois, le temps nécessaire, selon lui, pour permettre aux parents d</w:t>
      </w:r>
      <w:r w:rsidR="000413E2" w:rsidRPr="000413E2">
        <w:t>’</w:t>
      </w:r>
      <w:r w:rsidRPr="000413E2">
        <w:t>apprendre à exercer leurs responsabilités parentales.</w:t>
      </w:r>
    </w:p>
    <w:p w:rsidR="00025024" w:rsidRPr="000413E2" w:rsidRDefault="00025024" w:rsidP="000413E2">
      <w:pPr>
        <w:pStyle w:val="JuPara"/>
      </w:pPr>
      <w:r w:rsidRPr="000413E2">
        <w:fldChar w:fldCharType="begin"/>
      </w:r>
      <w:r w:rsidRPr="000413E2">
        <w:instrText xml:space="preserve"> SEQ level0 \*arabic </w:instrText>
      </w:r>
      <w:r w:rsidRPr="000413E2">
        <w:fldChar w:fldCharType="separate"/>
      </w:r>
      <w:r w:rsidR="000413E2" w:rsidRPr="000413E2">
        <w:rPr>
          <w:noProof/>
        </w:rPr>
        <w:t>50</w:t>
      </w:r>
      <w:r w:rsidRPr="000413E2">
        <w:fldChar w:fldCharType="end"/>
      </w:r>
      <w:r w:rsidRPr="000413E2">
        <w:t>.  Le Gouvernement ajoute que l</w:t>
      </w:r>
      <w:r w:rsidR="000413E2" w:rsidRPr="000413E2">
        <w:t>’</w:t>
      </w:r>
      <w:r w:rsidRPr="000413E2">
        <w:t>État a mis en place un arsenal juridique et administratif adéquat et suffisant pour assurer les droits légitimes des intéressés. Il conclut que l</w:t>
      </w:r>
      <w:r w:rsidR="000413E2" w:rsidRPr="000413E2">
        <w:t>’</w:t>
      </w:r>
      <w:r w:rsidRPr="000413E2">
        <w:t>affaire s</w:t>
      </w:r>
      <w:r w:rsidR="000413E2" w:rsidRPr="000413E2">
        <w:t>’</w:t>
      </w:r>
      <w:r w:rsidRPr="000413E2">
        <w:t>est conclue de façon positive, que ce résultat a été atteint grâce à un fort investissement de l</w:t>
      </w:r>
      <w:r w:rsidR="000413E2" w:rsidRPr="000413E2">
        <w:t>’</w:t>
      </w:r>
      <w:r w:rsidRPr="000413E2">
        <w:t>État et qu</w:t>
      </w:r>
      <w:r w:rsidR="000413E2" w:rsidRPr="000413E2">
        <w:t>’</w:t>
      </w:r>
      <w:r w:rsidRPr="000413E2">
        <w:t>aucun problème de retard dans la mise en œuvre des décisions ne se pose en l</w:t>
      </w:r>
      <w:r w:rsidR="000413E2" w:rsidRPr="000413E2">
        <w:t>’</w:t>
      </w:r>
      <w:r w:rsidRPr="000413E2">
        <w:t>espèce.</w:t>
      </w:r>
    </w:p>
    <w:p w:rsidR="00025024" w:rsidRPr="000413E2" w:rsidRDefault="00025024" w:rsidP="000413E2">
      <w:pPr>
        <w:pStyle w:val="JuH1"/>
        <w:jc w:val="both"/>
        <w:rPr>
          <w:rFonts w:eastAsiaTheme="minorHAnsi"/>
          <w:i w:val="0"/>
        </w:rPr>
      </w:pPr>
      <w:r w:rsidRPr="000413E2">
        <w:rPr>
          <w:rFonts w:eastAsiaTheme="minorHAnsi"/>
        </w:rPr>
        <w:t>Appréciation de la Cour</w:t>
      </w:r>
    </w:p>
    <w:p w:rsidR="00025024" w:rsidRPr="000413E2" w:rsidRDefault="00025024" w:rsidP="000413E2">
      <w:pPr>
        <w:pStyle w:val="JuHa0"/>
        <w:jc w:val="both"/>
        <w:rPr>
          <w:rFonts w:eastAsia="Times New Roman"/>
          <w:lang w:val="fr-FR"/>
        </w:rPr>
      </w:pPr>
      <w:bookmarkStart w:id="21" w:name="_Hlk36127691"/>
      <w:r w:rsidRPr="000413E2">
        <w:rPr>
          <w:rFonts w:eastAsia="Times New Roman"/>
          <w:lang w:val="fr-FR"/>
        </w:rPr>
        <w:t>Principes généraux</w:t>
      </w:r>
    </w:p>
    <w:p w:rsidR="00025024" w:rsidRPr="000413E2" w:rsidRDefault="00025024" w:rsidP="000413E2">
      <w:pPr>
        <w:pStyle w:val="JuPara"/>
        <w:rPr>
          <w:rFonts w:eastAsia="Times New Roman"/>
        </w:rPr>
      </w:pPr>
      <w:r w:rsidRPr="000413E2">
        <w:rPr>
          <w:rFonts w:eastAsia="Times New Roman"/>
        </w:rPr>
        <w:fldChar w:fldCharType="begin"/>
      </w:r>
      <w:r w:rsidRPr="000413E2">
        <w:rPr>
          <w:rFonts w:eastAsia="Times New Roman"/>
        </w:rPr>
        <w:instrText xml:space="preserve"> SEQ level0 \*arabic </w:instrText>
      </w:r>
      <w:r w:rsidRPr="000413E2">
        <w:rPr>
          <w:rFonts w:eastAsia="Times New Roman"/>
        </w:rPr>
        <w:fldChar w:fldCharType="separate"/>
      </w:r>
      <w:r w:rsidR="000413E2" w:rsidRPr="000413E2">
        <w:rPr>
          <w:rFonts w:eastAsia="Times New Roman"/>
          <w:noProof/>
        </w:rPr>
        <w:t>51</w:t>
      </w:r>
      <w:r w:rsidRPr="000413E2">
        <w:rPr>
          <w:rFonts w:eastAsia="Times New Roman"/>
        </w:rPr>
        <w:fldChar w:fldCharType="end"/>
      </w:r>
      <w:r w:rsidRPr="000413E2">
        <w:rPr>
          <w:rFonts w:eastAsia="Times New Roman"/>
        </w:rPr>
        <w:t>.  Comme la Cour l</w:t>
      </w:r>
      <w:r w:rsidR="000413E2" w:rsidRPr="000413E2">
        <w:rPr>
          <w:rFonts w:eastAsia="Times New Roman"/>
        </w:rPr>
        <w:t>’</w:t>
      </w:r>
      <w:r w:rsidRPr="000413E2">
        <w:rPr>
          <w:rFonts w:eastAsia="Times New Roman"/>
        </w:rPr>
        <w:t>a rappelé à maintes reprises, si l</w:t>
      </w:r>
      <w:r w:rsidR="000413E2" w:rsidRPr="000413E2">
        <w:rPr>
          <w:rFonts w:eastAsia="Times New Roman"/>
        </w:rPr>
        <w:t>’</w:t>
      </w:r>
      <w:r w:rsidRPr="000413E2">
        <w:rPr>
          <w:rFonts w:eastAsia="Times New Roman"/>
        </w:rPr>
        <w:t>article 8 de la Convention a essentiellement pour objet de prémunir l</w:t>
      </w:r>
      <w:r w:rsidR="000413E2" w:rsidRPr="000413E2">
        <w:rPr>
          <w:rFonts w:eastAsia="Times New Roman"/>
        </w:rPr>
        <w:t>’</w:t>
      </w:r>
      <w:r w:rsidRPr="000413E2">
        <w:rPr>
          <w:rFonts w:eastAsia="Times New Roman"/>
        </w:rPr>
        <w:t>individu contre les ingérences arbitraires des pouvoirs publics, il ne se contente pas de commander à l</w:t>
      </w:r>
      <w:r w:rsidR="000413E2" w:rsidRPr="000413E2">
        <w:rPr>
          <w:rFonts w:eastAsia="Times New Roman"/>
        </w:rPr>
        <w:t>’</w:t>
      </w:r>
      <w:r w:rsidRPr="000413E2">
        <w:rPr>
          <w:rFonts w:eastAsia="Times New Roman"/>
        </w:rPr>
        <w:t>État de s</w:t>
      </w:r>
      <w:r w:rsidR="000413E2" w:rsidRPr="000413E2">
        <w:rPr>
          <w:rFonts w:eastAsia="Times New Roman"/>
        </w:rPr>
        <w:t>’</w:t>
      </w:r>
      <w:r w:rsidRPr="000413E2">
        <w:rPr>
          <w:rFonts w:eastAsia="Times New Roman"/>
        </w:rPr>
        <w:t>abstenir de pareilles ingérences : à cet engagement plutôt négatif peuvent s</w:t>
      </w:r>
      <w:r w:rsidR="000413E2" w:rsidRPr="000413E2">
        <w:rPr>
          <w:rFonts w:eastAsia="Times New Roman"/>
        </w:rPr>
        <w:t>’</w:t>
      </w:r>
      <w:r w:rsidRPr="000413E2">
        <w:rPr>
          <w:rFonts w:eastAsia="Times New Roman"/>
        </w:rPr>
        <w:t>ajouter des obligations positives inhérentes à un respect effectif de la vie privée ou familiale. Celles-ci peuvent impliquer l</w:t>
      </w:r>
      <w:r w:rsidR="000413E2" w:rsidRPr="000413E2">
        <w:rPr>
          <w:rFonts w:eastAsia="Times New Roman"/>
        </w:rPr>
        <w:t>’</w:t>
      </w:r>
      <w:r w:rsidRPr="000413E2">
        <w:rPr>
          <w:rFonts w:eastAsia="Times New Roman"/>
        </w:rPr>
        <w:t>adoption de mesures visant au respect de la vie familiale jusque dans les relations des individus entre eux, dont la mise en place d</w:t>
      </w:r>
      <w:r w:rsidR="000413E2" w:rsidRPr="000413E2">
        <w:rPr>
          <w:rFonts w:eastAsia="Times New Roman"/>
        </w:rPr>
        <w:t>’</w:t>
      </w:r>
      <w:r w:rsidRPr="000413E2">
        <w:rPr>
          <w:rFonts w:eastAsia="Times New Roman"/>
        </w:rPr>
        <w:t xml:space="preserve">un arsenal juridique adéquat et suffisant pour assurer les droits légitimes des intéressés ainsi que le respect des décisions judiciaires, ou des mesures spécifiques appropriées (voir, </w:t>
      </w:r>
      <w:r w:rsidRPr="000413E2">
        <w:rPr>
          <w:rFonts w:eastAsia="Times New Roman"/>
          <w:i/>
        </w:rPr>
        <w:t>mutatis mutandis</w:t>
      </w:r>
      <w:r w:rsidRPr="000413E2">
        <w:rPr>
          <w:rFonts w:eastAsia="Times New Roman"/>
        </w:rPr>
        <w:t xml:space="preserve">, </w:t>
      </w:r>
      <w:r w:rsidRPr="000413E2">
        <w:rPr>
          <w:rFonts w:eastAsia="Times New Roman"/>
          <w:i/>
        </w:rPr>
        <w:t>Zawadka c. Pologne</w:t>
      </w:r>
      <w:r w:rsidRPr="000413E2">
        <w:rPr>
          <w:rFonts w:eastAsia="Times New Roman"/>
        </w:rPr>
        <w:t>, nº </w:t>
      </w:r>
      <w:hyperlink r:id="rId17" w:anchor="%7B%22appno%22:%5B%2248542/99%22%5D%7D" w:tgtFrame="_blank" w:history="1">
        <w:r w:rsidRPr="000413E2">
          <w:rPr>
            <w:rFonts w:eastAsia="Times New Roman"/>
          </w:rPr>
          <w:t>48542/99</w:t>
        </w:r>
      </w:hyperlink>
      <w:r w:rsidRPr="000413E2">
        <w:rPr>
          <w:rFonts w:eastAsia="Times New Roman"/>
        </w:rPr>
        <w:t>, § 53, 23 juin 2005). Cet arsenal doit permettre à l</w:t>
      </w:r>
      <w:r w:rsidR="000413E2" w:rsidRPr="000413E2">
        <w:rPr>
          <w:rFonts w:eastAsia="Times New Roman"/>
        </w:rPr>
        <w:t>’</w:t>
      </w:r>
      <w:r w:rsidRPr="000413E2">
        <w:rPr>
          <w:rFonts w:eastAsia="Times New Roman"/>
        </w:rPr>
        <w:t>État d</w:t>
      </w:r>
      <w:r w:rsidR="000413E2" w:rsidRPr="000413E2">
        <w:rPr>
          <w:rFonts w:eastAsia="Times New Roman"/>
        </w:rPr>
        <w:t>’</w:t>
      </w:r>
      <w:r w:rsidRPr="000413E2">
        <w:rPr>
          <w:rFonts w:eastAsia="Times New Roman"/>
        </w:rPr>
        <w:t xml:space="preserve">adopter des mesures propres à réunir le parent et son enfant, y compris en cas de conflit opposant les deux parents (voir, </w:t>
      </w:r>
      <w:r w:rsidRPr="000413E2">
        <w:rPr>
          <w:rFonts w:eastAsia="Times New Roman"/>
          <w:i/>
        </w:rPr>
        <w:t>mutatis mutandis</w:t>
      </w:r>
      <w:r w:rsidRPr="000413E2">
        <w:rPr>
          <w:rFonts w:eastAsia="Times New Roman"/>
        </w:rPr>
        <w:t xml:space="preserve">, </w:t>
      </w:r>
      <w:r w:rsidRPr="000413E2">
        <w:rPr>
          <w:rFonts w:eastAsia="Times New Roman"/>
          <w:i/>
        </w:rPr>
        <w:t>Ignaccolo-Zenide c. Roumanie</w:t>
      </w:r>
      <w:r w:rsidRPr="000413E2">
        <w:rPr>
          <w:rFonts w:eastAsia="Times New Roman"/>
        </w:rPr>
        <w:t xml:space="preserve">, nº </w:t>
      </w:r>
      <w:hyperlink r:id="rId18" w:anchor="%7B%22appno%22:%5B%2231679/96%22%5D%7D" w:tgtFrame="_blank" w:history="1">
        <w:r w:rsidRPr="000413E2">
          <w:rPr>
            <w:rFonts w:eastAsia="Times New Roman"/>
          </w:rPr>
          <w:t>31679/96</w:t>
        </w:r>
      </w:hyperlink>
      <w:r w:rsidRPr="000413E2">
        <w:rPr>
          <w:rFonts w:eastAsia="Times New Roman"/>
        </w:rPr>
        <w:t>, § 108, CEDH 2000</w:t>
      </w:r>
      <w:r w:rsidRPr="000413E2">
        <w:rPr>
          <w:rFonts w:eastAsia="Times New Roman"/>
        </w:rPr>
        <w:noBreakHyphen/>
        <w:t xml:space="preserve">I, </w:t>
      </w:r>
      <w:r w:rsidRPr="000413E2">
        <w:rPr>
          <w:rFonts w:eastAsia="Times New Roman"/>
          <w:i/>
        </w:rPr>
        <w:t>Sylvester c. Autriche,</w:t>
      </w:r>
      <w:r w:rsidRPr="000413E2">
        <w:rPr>
          <w:rFonts w:eastAsia="Times New Roman"/>
        </w:rPr>
        <w:t xml:space="preserve"> n</w:t>
      </w:r>
      <w:r w:rsidRPr="000413E2">
        <w:rPr>
          <w:rFonts w:eastAsia="Times New Roman"/>
          <w:vertAlign w:val="superscript"/>
        </w:rPr>
        <w:t>os </w:t>
      </w:r>
      <w:hyperlink r:id="rId19" w:anchor="%7B%22appno%22:%5B%2236812/97%22%5D%7D" w:tgtFrame="_blank" w:history="1">
        <w:r w:rsidRPr="000413E2">
          <w:rPr>
            <w:rFonts w:eastAsia="Times New Roman"/>
          </w:rPr>
          <w:t>36812/97</w:t>
        </w:r>
      </w:hyperlink>
      <w:r w:rsidRPr="000413E2">
        <w:rPr>
          <w:rFonts w:eastAsia="Times New Roman"/>
        </w:rPr>
        <w:t xml:space="preserve"> et </w:t>
      </w:r>
      <w:hyperlink r:id="rId20" w:anchor="%7B%22appno%22:%5B%2240104/98%22%5D%7D" w:tgtFrame="_blank" w:history="1">
        <w:r w:rsidRPr="000413E2">
          <w:rPr>
            <w:rFonts w:eastAsia="Times New Roman"/>
          </w:rPr>
          <w:t>40104/98</w:t>
        </w:r>
      </w:hyperlink>
      <w:r w:rsidRPr="000413E2">
        <w:rPr>
          <w:rFonts w:eastAsia="Times New Roman"/>
        </w:rPr>
        <w:t xml:space="preserve">, § 68, 24 avril 2003, </w:t>
      </w:r>
      <w:r w:rsidRPr="000413E2">
        <w:rPr>
          <w:rFonts w:eastAsia="Times New Roman"/>
          <w:i/>
        </w:rPr>
        <w:t>Zavřel c. République tchèque</w:t>
      </w:r>
      <w:r w:rsidRPr="000413E2">
        <w:rPr>
          <w:rFonts w:eastAsia="Times New Roman"/>
        </w:rPr>
        <w:t xml:space="preserve">, </w:t>
      </w:r>
      <w:r w:rsidRPr="000413E2">
        <w:rPr>
          <w:rFonts w:eastAsia="Times New Roman"/>
        </w:rPr>
        <w:lastRenderedPageBreak/>
        <w:t>nº </w:t>
      </w:r>
      <w:hyperlink r:id="rId21" w:anchor="%7B%22appno%22:%5B%2214044/05%22%5D%7D" w:tgtFrame="_blank" w:history="1">
        <w:r w:rsidRPr="000413E2">
          <w:rPr>
            <w:rFonts w:eastAsia="Times New Roman"/>
          </w:rPr>
          <w:t>14044/05</w:t>
        </w:r>
      </w:hyperlink>
      <w:r w:rsidRPr="000413E2">
        <w:rPr>
          <w:rFonts w:eastAsia="Times New Roman"/>
        </w:rPr>
        <w:t xml:space="preserve">, § 47, 18 janvier 2007, et </w:t>
      </w:r>
      <w:r w:rsidRPr="000413E2">
        <w:rPr>
          <w:rFonts w:eastAsia="Times New Roman"/>
          <w:i/>
        </w:rPr>
        <w:t>Mihailova c. Bulgarie</w:t>
      </w:r>
      <w:r w:rsidRPr="000413E2">
        <w:rPr>
          <w:rFonts w:eastAsia="Times New Roman"/>
        </w:rPr>
        <w:t>, n</w:t>
      </w:r>
      <w:r w:rsidRPr="000413E2">
        <w:rPr>
          <w:rFonts w:eastAsia="Times New Roman"/>
          <w:vertAlign w:val="superscript"/>
        </w:rPr>
        <w:t>o</w:t>
      </w:r>
      <w:r w:rsidR="00D931D5" w:rsidRPr="000413E2">
        <w:rPr>
          <w:rFonts w:eastAsia="Times New Roman"/>
          <w:vertAlign w:val="superscript"/>
        </w:rPr>
        <w:t> </w:t>
      </w:r>
      <w:hyperlink r:id="rId22" w:anchor="%7B%22appno%22:%5B%2235978/02%22%5D%7D" w:tgtFrame="_blank" w:history="1">
        <w:r w:rsidRPr="000413E2">
          <w:rPr>
            <w:rFonts w:eastAsia="Times New Roman"/>
          </w:rPr>
          <w:t>35978/02</w:t>
        </w:r>
      </w:hyperlink>
      <w:r w:rsidRPr="000413E2">
        <w:rPr>
          <w:rFonts w:eastAsia="Times New Roman"/>
        </w:rPr>
        <w:t>, § 80, 12 janvier 2006). La Cour rappelle aussi que les obligations positives ne se limitent pas à veiller à ce que l</w:t>
      </w:r>
      <w:r w:rsidR="000413E2" w:rsidRPr="000413E2">
        <w:rPr>
          <w:rFonts w:eastAsia="Times New Roman"/>
        </w:rPr>
        <w:t>’</w:t>
      </w:r>
      <w:r w:rsidRPr="000413E2">
        <w:rPr>
          <w:rFonts w:eastAsia="Times New Roman"/>
        </w:rPr>
        <w:t>enfant puisse rejoindre son parent ou avoir un contact avec lui, mais qu</w:t>
      </w:r>
      <w:r w:rsidR="000413E2" w:rsidRPr="000413E2">
        <w:rPr>
          <w:rFonts w:eastAsia="Times New Roman"/>
        </w:rPr>
        <w:t>’</w:t>
      </w:r>
      <w:r w:rsidRPr="000413E2">
        <w:rPr>
          <w:rFonts w:eastAsia="Times New Roman"/>
        </w:rPr>
        <w:t>elles englobent également l</w:t>
      </w:r>
      <w:r w:rsidR="000413E2" w:rsidRPr="000413E2">
        <w:rPr>
          <w:rFonts w:eastAsia="Times New Roman"/>
        </w:rPr>
        <w:t>’</w:t>
      </w:r>
      <w:r w:rsidRPr="000413E2">
        <w:rPr>
          <w:rFonts w:eastAsia="Times New Roman"/>
        </w:rPr>
        <w:t xml:space="preserve">ensemble des mesures préparatoires permettant de parvenir à ce résultat (voir, </w:t>
      </w:r>
      <w:r w:rsidR="00D931D5" w:rsidRPr="000413E2">
        <w:rPr>
          <w:rFonts w:eastAsia="Times New Roman"/>
          <w:i/>
        </w:rPr>
        <w:t>mutatis </w:t>
      </w:r>
      <w:r w:rsidRPr="000413E2">
        <w:rPr>
          <w:rFonts w:eastAsia="Times New Roman"/>
          <w:i/>
        </w:rPr>
        <w:t>mutandis</w:t>
      </w:r>
      <w:r w:rsidRPr="000413E2">
        <w:rPr>
          <w:rFonts w:eastAsia="Times New Roman"/>
        </w:rPr>
        <w:t xml:space="preserve">, </w:t>
      </w:r>
      <w:r w:rsidRPr="000413E2">
        <w:rPr>
          <w:rFonts w:eastAsia="Times New Roman"/>
          <w:i/>
        </w:rPr>
        <w:t>Kosmopoulou c. Grèce,</w:t>
      </w:r>
      <w:r w:rsidRPr="000413E2">
        <w:rPr>
          <w:rFonts w:eastAsia="Times New Roman"/>
        </w:rPr>
        <w:t xml:space="preserve"> nº </w:t>
      </w:r>
      <w:hyperlink r:id="rId23" w:anchor="%7B%22appno%22:%5B%2260457/00%22%5D%7D" w:tgtFrame="_blank" w:history="1">
        <w:r w:rsidRPr="000413E2">
          <w:rPr>
            <w:rFonts w:eastAsia="Times New Roman"/>
          </w:rPr>
          <w:t>60457/00</w:t>
        </w:r>
      </w:hyperlink>
      <w:r w:rsidR="000413E2" w:rsidRPr="000413E2">
        <w:rPr>
          <w:rFonts w:eastAsia="Times New Roman"/>
        </w:rPr>
        <w:t xml:space="preserve">, § 45, 5 février </w:t>
      </w:r>
      <w:r w:rsidRPr="000413E2">
        <w:rPr>
          <w:rFonts w:eastAsia="Times New Roman"/>
        </w:rPr>
        <w:t xml:space="preserve">2004, </w:t>
      </w:r>
      <w:r w:rsidRPr="000413E2">
        <w:rPr>
          <w:rFonts w:eastAsia="Times New Roman"/>
          <w:i/>
        </w:rPr>
        <w:t>Amanalachioai c. Roumanie</w:t>
      </w:r>
      <w:r w:rsidRPr="000413E2">
        <w:rPr>
          <w:rFonts w:eastAsia="Times New Roman"/>
        </w:rPr>
        <w:t xml:space="preserve">, nº </w:t>
      </w:r>
      <w:hyperlink r:id="rId24" w:anchor="%7B%22appno%22:%5B%224023/04%22%5D%7D" w:tgtFrame="_blank" w:history="1">
        <w:r w:rsidRPr="000413E2">
          <w:rPr>
            <w:rFonts w:eastAsia="Times New Roman"/>
          </w:rPr>
          <w:t>4023/04</w:t>
        </w:r>
      </w:hyperlink>
      <w:r w:rsidR="000413E2" w:rsidRPr="000413E2">
        <w:rPr>
          <w:rFonts w:eastAsia="Times New Roman"/>
        </w:rPr>
        <w:t xml:space="preserve">, § 95, 26 mai </w:t>
      </w:r>
      <w:r w:rsidRPr="000413E2">
        <w:rPr>
          <w:rFonts w:eastAsia="Times New Roman"/>
        </w:rPr>
        <w:t xml:space="preserve">2009, </w:t>
      </w:r>
      <w:r w:rsidRPr="000413E2">
        <w:rPr>
          <w:rFonts w:eastAsia="Times New Roman"/>
          <w:i/>
        </w:rPr>
        <w:t>Ignaccolo</w:t>
      </w:r>
      <w:r w:rsidRPr="000413E2">
        <w:rPr>
          <w:rFonts w:eastAsia="Times New Roman"/>
          <w:i/>
        </w:rPr>
        <w:noBreakHyphen/>
        <w:t>Zenide</w:t>
      </w:r>
      <w:r w:rsidRPr="000413E2">
        <w:rPr>
          <w:rFonts w:eastAsia="Times New Roman"/>
        </w:rPr>
        <w:t xml:space="preserve">, précité, §§ 105 et 112, et </w:t>
      </w:r>
      <w:r w:rsidRPr="000413E2">
        <w:rPr>
          <w:rFonts w:eastAsia="Times New Roman"/>
          <w:i/>
        </w:rPr>
        <w:t>Sylvester</w:t>
      </w:r>
      <w:r w:rsidRPr="000413E2">
        <w:rPr>
          <w:rFonts w:eastAsia="Times New Roman"/>
        </w:rPr>
        <w:t>, précité, §</w:t>
      </w:r>
      <w:r w:rsidR="00D931D5" w:rsidRPr="000413E2">
        <w:rPr>
          <w:rFonts w:eastAsia="Times New Roman"/>
        </w:rPr>
        <w:t> </w:t>
      </w:r>
      <w:r w:rsidRPr="000413E2">
        <w:rPr>
          <w:rFonts w:eastAsia="Times New Roman"/>
        </w:rPr>
        <w:t>70).</w:t>
      </w:r>
    </w:p>
    <w:p w:rsidR="00025024" w:rsidRPr="000413E2" w:rsidRDefault="00025024" w:rsidP="000413E2">
      <w:pPr>
        <w:pStyle w:val="JuPara"/>
        <w:rPr>
          <w:rFonts w:eastAsia="Times New Roman"/>
        </w:rPr>
      </w:pPr>
      <w:r w:rsidRPr="000413E2">
        <w:rPr>
          <w:rFonts w:eastAsia="Times New Roman"/>
        </w:rPr>
        <w:fldChar w:fldCharType="begin"/>
      </w:r>
      <w:r w:rsidRPr="000413E2">
        <w:rPr>
          <w:rFonts w:eastAsia="Times New Roman"/>
        </w:rPr>
        <w:instrText xml:space="preserve"> SEQ level0 \*arabic </w:instrText>
      </w:r>
      <w:r w:rsidRPr="000413E2">
        <w:rPr>
          <w:rFonts w:eastAsia="Times New Roman"/>
        </w:rPr>
        <w:fldChar w:fldCharType="separate"/>
      </w:r>
      <w:r w:rsidR="000413E2" w:rsidRPr="000413E2">
        <w:rPr>
          <w:rFonts w:eastAsia="Times New Roman"/>
          <w:noProof/>
        </w:rPr>
        <w:t>52</w:t>
      </w:r>
      <w:r w:rsidRPr="000413E2">
        <w:rPr>
          <w:rFonts w:eastAsia="Times New Roman"/>
        </w:rPr>
        <w:fldChar w:fldCharType="end"/>
      </w:r>
      <w:r w:rsidRPr="000413E2">
        <w:rPr>
          <w:rFonts w:eastAsia="Times New Roman"/>
        </w:rPr>
        <w:t>.  La Cour rappelle également que le fait que les efforts des autorités ont été vains ne mène pas automatiquement à la conclusion que l</w:t>
      </w:r>
      <w:r w:rsidR="000413E2" w:rsidRPr="000413E2">
        <w:rPr>
          <w:rFonts w:eastAsia="Times New Roman"/>
        </w:rPr>
        <w:t>’</w:t>
      </w:r>
      <w:r w:rsidRPr="000413E2">
        <w:rPr>
          <w:rFonts w:eastAsia="Times New Roman"/>
        </w:rPr>
        <w:t>État a manqué aux obligations positives qui découlent pour lui de l</w:t>
      </w:r>
      <w:r w:rsidR="000413E2" w:rsidRPr="000413E2">
        <w:rPr>
          <w:rFonts w:eastAsia="Times New Roman"/>
        </w:rPr>
        <w:t>’</w:t>
      </w:r>
      <w:r w:rsidRPr="000413E2">
        <w:rPr>
          <w:rFonts w:eastAsia="Times New Roman"/>
        </w:rPr>
        <w:t>article 8 de la Convention (</w:t>
      </w:r>
      <w:r w:rsidRPr="000413E2">
        <w:rPr>
          <w:i/>
        </w:rPr>
        <w:t>Nicolò Santilli</w:t>
      </w:r>
      <w:r w:rsidRPr="000413E2">
        <w:t>,</w:t>
      </w:r>
      <w:r w:rsidRPr="000413E2">
        <w:rPr>
          <w:i/>
        </w:rPr>
        <w:t xml:space="preserve"> </w:t>
      </w:r>
      <w:r w:rsidRPr="000413E2">
        <w:t>précité</w:t>
      </w:r>
      <w:r w:rsidRPr="000413E2">
        <w:rPr>
          <w:snapToGrid w:val="0"/>
        </w:rPr>
        <w:t xml:space="preserve">, § 67, 17 </w:t>
      </w:r>
      <w:r w:rsidRPr="000413E2">
        <w:t>décembre</w:t>
      </w:r>
      <w:r w:rsidRPr="000413E2">
        <w:rPr>
          <w:snapToGrid w:val="0"/>
        </w:rPr>
        <w:t xml:space="preserve"> 2013</w:t>
      </w:r>
      <w:r w:rsidRPr="000413E2">
        <w:rPr>
          <w:rFonts w:eastAsia="Times New Roman"/>
          <w:iCs/>
        </w:rPr>
        <w:t>).</w:t>
      </w:r>
      <w:r w:rsidRPr="000413E2">
        <w:rPr>
          <w:rFonts w:eastAsia="Times New Roman"/>
          <w:i/>
          <w:iCs/>
        </w:rPr>
        <w:t xml:space="preserve"> </w:t>
      </w:r>
      <w:r w:rsidRPr="000413E2">
        <w:rPr>
          <w:rFonts w:eastAsia="Times New Roman"/>
        </w:rPr>
        <w:t>En effet, l</w:t>
      </w:r>
      <w:r w:rsidR="000413E2" w:rsidRPr="000413E2">
        <w:rPr>
          <w:rFonts w:eastAsia="Times New Roman"/>
        </w:rPr>
        <w:t>’</w:t>
      </w:r>
      <w:r w:rsidRPr="000413E2">
        <w:rPr>
          <w:rFonts w:eastAsia="Times New Roman"/>
        </w:rPr>
        <w:t>obligation pour les autorités nationales de prendre des mesures afin de réunir l</w:t>
      </w:r>
      <w:r w:rsidR="000413E2" w:rsidRPr="000413E2">
        <w:rPr>
          <w:rFonts w:eastAsia="Times New Roman"/>
        </w:rPr>
        <w:t>’</w:t>
      </w:r>
      <w:r w:rsidRPr="000413E2">
        <w:rPr>
          <w:rFonts w:eastAsia="Times New Roman"/>
        </w:rPr>
        <w:t>enfant et le parent avec lequel il ne vit pas n</w:t>
      </w:r>
      <w:r w:rsidR="000413E2" w:rsidRPr="000413E2">
        <w:rPr>
          <w:rFonts w:eastAsia="Times New Roman"/>
        </w:rPr>
        <w:t>’</w:t>
      </w:r>
      <w:r w:rsidRPr="000413E2">
        <w:rPr>
          <w:rFonts w:eastAsia="Times New Roman"/>
        </w:rPr>
        <w:t>est pas absolue, et la compréhension et la coopération de l</w:t>
      </w:r>
      <w:r w:rsidR="000413E2" w:rsidRPr="000413E2">
        <w:rPr>
          <w:rFonts w:eastAsia="Times New Roman"/>
        </w:rPr>
        <w:t>’</w:t>
      </w:r>
      <w:r w:rsidRPr="000413E2">
        <w:rPr>
          <w:rFonts w:eastAsia="Times New Roman"/>
        </w:rPr>
        <w:t>ensemble des personnes concernées constituent toujours un facteur important. Si les autorités nationales doivent s</w:t>
      </w:r>
      <w:r w:rsidR="000413E2" w:rsidRPr="000413E2">
        <w:rPr>
          <w:rFonts w:eastAsia="Times New Roman"/>
        </w:rPr>
        <w:t>’</w:t>
      </w:r>
      <w:r w:rsidRPr="000413E2">
        <w:rPr>
          <w:rFonts w:eastAsia="Times New Roman"/>
        </w:rPr>
        <w:t>efforcer de faciliter pareille collaboration, une obligation pour elles de recourir à la coercition en la matière ne saurait être que limitée : il leur faut tenir compte des intérêts et des droits et libertés de ces mêmes personnes, et notamment des intérêts supérieurs de l</w:t>
      </w:r>
      <w:r w:rsidR="000413E2" w:rsidRPr="000413E2">
        <w:rPr>
          <w:rFonts w:eastAsia="Times New Roman"/>
        </w:rPr>
        <w:t>’</w:t>
      </w:r>
      <w:r w:rsidRPr="000413E2">
        <w:rPr>
          <w:rFonts w:eastAsia="Times New Roman"/>
        </w:rPr>
        <w:t>enfant et des droits que confère l</w:t>
      </w:r>
      <w:r w:rsidR="000413E2" w:rsidRPr="000413E2">
        <w:rPr>
          <w:rFonts w:eastAsia="Times New Roman"/>
        </w:rPr>
        <w:t>’</w:t>
      </w:r>
      <w:r w:rsidRPr="000413E2">
        <w:rPr>
          <w:rFonts w:eastAsia="Times New Roman"/>
        </w:rPr>
        <w:t>article 8 de la Convention à celui-ci (</w:t>
      </w:r>
      <w:r w:rsidRPr="000413E2">
        <w:rPr>
          <w:rFonts w:eastAsia="Times New Roman"/>
          <w:i/>
        </w:rPr>
        <w:t>Voleský c. République tchèque</w:t>
      </w:r>
      <w:r w:rsidRPr="000413E2">
        <w:rPr>
          <w:rFonts w:eastAsia="Times New Roman"/>
        </w:rPr>
        <w:t>, n</w:t>
      </w:r>
      <w:r w:rsidRPr="000413E2">
        <w:rPr>
          <w:rFonts w:eastAsia="Times New Roman"/>
          <w:vertAlign w:val="superscript"/>
        </w:rPr>
        <w:t>o</w:t>
      </w:r>
      <w:r w:rsidRPr="000413E2">
        <w:rPr>
          <w:rFonts w:eastAsia="Times New Roman"/>
        </w:rPr>
        <w:t> 63267/00, § 118, 29 juin 2004).</w:t>
      </w:r>
    </w:p>
    <w:bookmarkStart w:id="22" w:name="lt_pId1612"/>
    <w:p w:rsidR="00025024" w:rsidRPr="000413E2" w:rsidRDefault="00025024" w:rsidP="000413E2">
      <w:pPr>
        <w:pStyle w:val="JuPara"/>
        <w:rPr>
          <w:i/>
        </w:rPr>
      </w:pPr>
      <w:r w:rsidRPr="000413E2">
        <w:fldChar w:fldCharType="begin"/>
      </w:r>
      <w:r w:rsidRPr="000413E2">
        <w:instrText xml:space="preserve"> SEQ level0 \*arabic </w:instrText>
      </w:r>
      <w:r w:rsidRPr="000413E2">
        <w:fldChar w:fldCharType="separate"/>
      </w:r>
      <w:r w:rsidR="000413E2" w:rsidRPr="000413E2">
        <w:rPr>
          <w:noProof/>
        </w:rPr>
        <w:t>53</w:t>
      </w:r>
      <w:r w:rsidRPr="000413E2">
        <w:fldChar w:fldCharType="end"/>
      </w:r>
      <w:r w:rsidRPr="000413E2">
        <w:t>.  En ce qui concerne la vie familiale d</w:t>
      </w:r>
      <w:r w:rsidR="000413E2" w:rsidRPr="000413E2">
        <w:t>’</w:t>
      </w:r>
      <w:r w:rsidRPr="000413E2">
        <w:t>un enfant, la Cour rappelle qu</w:t>
      </w:r>
      <w:r w:rsidR="000413E2" w:rsidRPr="000413E2">
        <w:t>’</w:t>
      </w:r>
      <w:r w:rsidRPr="000413E2">
        <w:t>il existe actuellement un large consensus – y compris en droit international – autour de l</w:t>
      </w:r>
      <w:r w:rsidR="000413E2" w:rsidRPr="000413E2">
        <w:t>’</w:t>
      </w:r>
      <w:r w:rsidRPr="000413E2">
        <w:t xml:space="preserve">idée que dans toutes les décisions concernant des enfants, leur intérêt supérieur doit primer (voir, entre autres, </w:t>
      </w:r>
      <w:r w:rsidRPr="000413E2">
        <w:rPr>
          <w:i/>
        </w:rPr>
        <w:t xml:space="preserve">Neulinger et Shuruk c. Suisse </w:t>
      </w:r>
      <w:r w:rsidRPr="000413E2">
        <w:t>[GC], n</w:t>
      </w:r>
      <w:r w:rsidRPr="000413E2">
        <w:rPr>
          <w:vertAlign w:val="superscript"/>
        </w:rPr>
        <w:t>o</w:t>
      </w:r>
      <w:r w:rsidRPr="000413E2">
        <w:t xml:space="preserve"> 41615/07, § 135, CEDH 2010</w:t>
      </w:r>
      <w:bookmarkStart w:id="23" w:name="lt_pId1613"/>
      <w:bookmarkEnd w:id="22"/>
      <w:r w:rsidRPr="000413E2">
        <w:t xml:space="preserve">). </w:t>
      </w:r>
      <w:bookmarkStart w:id="24" w:name="lt_pId1614"/>
      <w:bookmarkEnd w:id="23"/>
      <w:r w:rsidRPr="000413E2">
        <w:t>Elle souligne d</w:t>
      </w:r>
      <w:r w:rsidR="000413E2" w:rsidRPr="000413E2">
        <w:t>’</w:t>
      </w:r>
      <w:r w:rsidRPr="000413E2">
        <w:t>ailleurs que dans les affaires dans lesquelles sont en jeu des questions de placement d</w:t>
      </w:r>
      <w:r w:rsidR="000413E2" w:rsidRPr="000413E2">
        <w:t>’</w:t>
      </w:r>
      <w:r w:rsidRPr="000413E2">
        <w:t>enfants et de restrictions du droit de visite, l</w:t>
      </w:r>
      <w:r w:rsidR="000413E2" w:rsidRPr="000413E2">
        <w:t>’</w:t>
      </w:r>
      <w:r w:rsidRPr="000413E2">
        <w:t>intérêt de l</w:t>
      </w:r>
      <w:r w:rsidR="000413E2" w:rsidRPr="000413E2">
        <w:t>’</w:t>
      </w:r>
      <w:r w:rsidRPr="000413E2">
        <w:t>enfant doit passer avant toute autre considération (</w:t>
      </w:r>
      <w:bookmarkStart w:id="25" w:name="lt_pId1616"/>
      <w:bookmarkEnd w:id="24"/>
      <w:r w:rsidRPr="000413E2">
        <w:rPr>
          <w:i/>
        </w:rPr>
        <w:t xml:space="preserve">Strand Lobben </w:t>
      </w:r>
      <w:r w:rsidRPr="000413E2">
        <w:rPr>
          <w:i/>
          <w:iCs/>
        </w:rPr>
        <w:t>et autres c. Norvège</w:t>
      </w:r>
      <w:r w:rsidRPr="000413E2">
        <w:t xml:space="preserve"> [GC], n</w:t>
      </w:r>
      <w:r w:rsidRPr="000413E2">
        <w:rPr>
          <w:vertAlign w:val="superscript"/>
        </w:rPr>
        <w:t>o</w:t>
      </w:r>
      <w:r w:rsidRPr="000413E2">
        <w:t xml:space="preserve"> 37283/13, § 204, 10 septembre 2019).</w:t>
      </w:r>
      <w:bookmarkEnd w:id="25"/>
      <w:r w:rsidRPr="000413E2">
        <w:rPr>
          <w:rFonts w:eastAsia="Times New Roman"/>
        </w:rPr>
        <w:t xml:space="preserve"> La plus grande prudence s</w:t>
      </w:r>
      <w:r w:rsidR="000413E2" w:rsidRPr="000413E2">
        <w:rPr>
          <w:rFonts w:eastAsia="Times New Roman"/>
        </w:rPr>
        <w:t>’</w:t>
      </w:r>
      <w:r w:rsidRPr="000413E2">
        <w:rPr>
          <w:rFonts w:eastAsia="Times New Roman"/>
        </w:rPr>
        <w:t>impose lorsqu</w:t>
      </w:r>
      <w:r w:rsidR="000413E2" w:rsidRPr="000413E2">
        <w:rPr>
          <w:rFonts w:eastAsia="Times New Roman"/>
        </w:rPr>
        <w:t>’</w:t>
      </w:r>
      <w:r w:rsidRPr="000413E2">
        <w:rPr>
          <w:rFonts w:eastAsia="Times New Roman"/>
        </w:rPr>
        <w:t>il s</w:t>
      </w:r>
      <w:r w:rsidR="000413E2" w:rsidRPr="000413E2">
        <w:rPr>
          <w:rFonts w:eastAsia="Times New Roman"/>
        </w:rPr>
        <w:t>’</w:t>
      </w:r>
      <w:r w:rsidRPr="000413E2">
        <w:rPr>
          <w:rFonts w:eastAsia="Times New Roman"/>
        </w:rPr>
        <w:t>agit de recourir à la coercition en ce domaine délicat (</w:t>
      </w:r>
      <w:r w:rsidRPr="000413E2">
        <w:rPr>
          <w:rFonts w:eastAsia="Times New Roman"/>
          <w:i/>
          <w:iCs/>
        </w:rPr>
        <w:t>Mitrova et Savik</w:t>
      </w:r>
      <w:r w:rsidRPr="000413E2">
        <w:rPr>
          <w:rFonts w:eastAsia="Times New Roman"/>
        </w:rPr>
        <w:t xml:space="preserve"> </w:t>
      </w:r>
      <w:r w:rsidRPr="000413E2">
        <w:rPr>
          <w:rFonts w:eastAsia="Times New Roman"/>
          <w:i/>
          <w:iCs/>
        </w:rPr>
        <w:t>c. l</w:t>
      </w:r>
      <w:r w:rsidR="000413E2" w:rsidRPr="000413E2">
        <w:rPr>
          <w:rFonts w:eastAsia="Times New Roman"/>
          <w:i/>
          <w:iCs/>
        </w:rPr>
        <w:t>’</w:t>
      </w:r>
      <w:r w:rsidRPr="000413E2">
        <w:rPr>
          <w:rFonts w:eastAsia="Times New Roman"/>
          <w:i/>
          <w:iCs/>
        </w:rPr>
        <w:t>ex-République yougoslave de Macédoine</w:t>
      </w:r>
      <w:r w:rsidRPr="000413E2">
        <w:rPr>
          <w:rFonts w:eastAsia="Times New Roman"/>
        </w:rPr>
        <w:t>, n</w:t>
      </w:r>
      <w:r w:rsidRPr="000413E2">
        <w:rPr>
          <w:rFonts w:eastAsia="Times New Roman"/>
          <w:vertAlign w:val="superscript"/>
        </w:rPr>
        <w:t>o</w:t>
      </w:r>
      <w:r w:rsidRPr="000413E2">
        <w:rPr>
          <w:rFonts w:eastAsia="Times New Roman"/>
        </w:rPr>
        <w:t xml:space="preserve"> 42534/09, § 77, 11 février 2016, et </w:t>
      </w:r>
      <w:r w:rsidRPr="000413E2">
        <w:rPr>
          <w:rFonts w:eastAsia="Times New Roman"/>
          <w:i/>
          <w:iCs/>
        </w:rPr>
        <w:t>Reigado Ramos c. Portugal</w:t>
      </w:r>
      <w:r w:rsidRPr="000413E2">
        <w:rPr>
          <w:rFonts w:eastAsia="Times New Roman"/>
        </w:rPr>
        <w:t>, n</w:t>
      </w:r>
      <w:r w:rsidRPr="000413E2">
        <w:rPr>
          <w:rFonts w:eastAsia="Times New Roman"/>
          <w:vertAlign w:val="superscript"/>
        </w:rPr>
        <w:t>o</w:t>
      </w:r>
      <w:r w:rsidR="00D931D5" w:rsidRPr="000413E2">
        <w:rPr>
          <w:rFonts w:eastAsia="Times New Roman"/>
        </w:rPr>
        <w:t xml:space="preserve"> 73229/01, § 53, 22 </w:t>
      </w:r>
      <w:r w:rsidRPr="000413E2">
        <w:rPr>
          <w:rFonts w:eastAsia="Times New Roman"/>
        </w:rPr>
        <w:t>novembre 2005). Le point décisif consiste donc à savoir si, en l</w:t>
      </w:r>
      <w:r w:rsidR="000413E2" w:rsidRPr="000413E2">
        <w:rPr>
          <w:rFonts w:eastAsia="Times New Roman"/>
        </w:rPr>
        <w:t>’</w:t>
      </w:r>
      <w:r w:rsidRPr="000413E2">
        <w:rPr>
          <w:rFonts w:eastAsia="Times New Roman"/>
        </w:rPr>
        <w:t>espèce, les autorités nationales ont pris, pour faciliter les visites entre le parent et l</w:t>
      </w:r>
      <w:r w:rsidR="000413E2" w:rsidRPr="000413E2">
        <w:rPr>
          <w:rFonts w:eastAsia="Times New Roman"/>
        </w:rPr>
        <w:t>’</w:t>
      </w:r>
      <w:r w:rsidRPr="000413E2">
        <w:rPr>
          <w:rFonts w:eastAsia="Times New Roman"/>
        </w:rPr>
        <w:t>enfant, toutes les mesures nécessaires que l</w:t>
      </w:r>
      <w:r w:rsidR="000413E2" w:rsidRPr="000413E2">
        <w:rPr>
          <w:rFonts w:eastAsia="Times New Roman"/>
        </w:rPr>
        <w:t>’</w:t>
      </w:r>
      <w:r w:rsidRPr="000413E2">
        <w:rPr>
          <w:rFonts w:eastAsia="Times New Roman"/>
        </w:rPr>
        <w:t>on pouvait raisonnablement exiger d</w:t>
      </w:r>
      <w:r w:rsidR="000413E2" w:rsidRPr="000413E2">
        <w:rPr>
          <w:rFonts w:eastAsia="Times New Roman"/>
        </w:rPr>
        <w:t>’</w:t>
      </w:r>
      <w:r w:rsidRPr="000413E2">
        <w:rPr>
          <w:rFonts w:eastAsia="Times New Roman"/>
        </w:rPr>
        <w:t>elles (</w:t>
      </w:r>
      <w:r w:rsidRPr="000413E2">
        <w:rPr>
          <w:i/>
        </w:rPr>
        <w:t>Nuutinen c. Finlande</w:t>
      </w:r>
      <w:r w:rsidRPr="000413E2">
        <w:t>, n</w:t>
      </w:r>
      <w:r w:rsidRPr="000413E2">
        <w:rPr>
          <w:vertAlign w:val="superscript"/>
        </w:rPr>
        <w:t>o</w:t>
      </w:r>
      <w:r w:rsidRPr="000413E2">
        <w:t> 32842/96, § 128, CEDH 2000</w:t>
      </w:r>
      <w:r w:rsidRPr="000413E2">
        <w:noBreakHyphen/>
        <w:t>VIII</w:t>
      </w:r>
      <w:r w:rsidRPr="000413E2">
        <w:rPr>
          <w:rFonts w:eastAsia="Times New Roman"/>
        </w:rPr>
        <w:t>).</w:t>
      </w:r>
    </w:p>
    <w:bookmarkEnd w:id="21"/>
    <w:p w:rsidR="00025024" w:rsidRPr="000413E2" w:rsidRDefault="00025024" w:rsidP="000413E2">
      <w:pPr>
        <w:pStyle w:val="JuHa0"/>
        <w:jc w:val="both"/>
        <w:rPr>
          <w:lang w:val="fr-FR"/>
        </w:rPr>
      </w:pPr>
      <w:r w:rsidRPr="000413E2">
        <w:rPr>
          <w:lang w:val="fr-FR"/>
        </w:rPr>
        <w:t>Application de ces principes à la présente espèce</w:t>
      </w:r>
    </w:p>
    <w:p w:rsidR="00025024" w:rsidRPr="000413E2" w:rsidRDefault="00025024" w:rsidP="000413E2">
      <w:pPr>
        <w:pStyle w:val="JuPara"/>
        <w:rPr>
          <w:rFonts w:eastAsia="Times New Roman"/>
        </w:rPr>
      </w:pPr>
      <w:r w:rsidRPr="000413E2">
        <w:rPr>
          <w:rFonts w:eastAsia="Times New Roman"/>
        </w:rPr>
        <w:fldChar w:fldCharType="begin"/>
      </w:r>
      <w:r w:rsidRPr="000413E2">
        <w:rPr>
          <w:rFonts w:eastAsia="Times New Roman"/>
        </w:rPr>
        <w:instrText xml:space="preserve"> SEQ level0 \*arabic </w:instrText>
      </w:r>
      <w:r w:rsidRPr="000413E2">
        <w:rPr>
          <w:rFonts w:eastAsia="Times New Roman"/>
        </w:rPr>
        <w:fldChar w:fldCharType="separate"/>
      </w:r>
      <w:r w:rsidR="000413E2" w:rsidRPr="000413E2">
        <w:rPr>
          <w:rFonts w:eastAsia="Times New Roman"/>
          <w:noProof/>
        </w:rPr>
        <w:t>54</w:t>
      </w:r>
      <w:r w:rsidRPr="000413E2">
        <w:rPr>
          <w:rFonts w:eastAsia="Times New Roman"/>
        </w:rPr>
        <w:fldChar w:fldCharType="end"/>
      </w:r>
      <w:r w:rsidRPr="000413E2">
        <w:rPr>
          <w:rFonts w:eastAsia="Times New Roman"/>
        </w:rPr>
        <w:t>.  Se tournant vers les faits de la présente cause, la Cour estime que, devant les circonstances qui lui sont soumises, sa tâche consiste à examiner si les autorités nationales ont pris toutes les mesures que l</w:t>
      </w:r>
      <w:r w:rsidR="000413E2" w:rsidRPr="000413E2">
        <w:rPr>
          <w:rFonts w:eastAsia="Times New Roman"/>
        </w:rPr>
        <w:t>’</w:t>
      </w:r>
      <w:r w:rsidRPr="000413E2">
        <w:rPr>
          <w:rFonts w:eastAsia="Times New Roman"/>
        </w:rPr>
        <w:t xml:space="preserve">on pouvait </w:t>
      </w:r>
      <w:r w:rsidRPr="000413E2">
        <w:rPr>
          <w:rFonts w:eastAsia="Times New Roman"/>
        </w:rPr>
        <w:lastRenderedPageBreak/>
        <w:t>raisonnablement exiger d</w:t>
      </w:r>
      <w:r w:rsidR="000413E2" w:rsidRPr="000413E2">
        <w:rPr>
          <w:rFonts w:eastAsia="Times New Roman"/>
        </w:rPr>
        <w:t>’</w:t>
      </w:r>
      <w:r w:rsidRPr="000413E2">
        <w:rPr>
          <w:rFonts w:eastAsia="Times New Roman"/>
        </w:rPr>
        <w:t>elles pour maintenir les liens entre le requérant et son fils (</w:t>
      </w:r>
      <w:r w:rsidRPr="000413E2">
        <w:rPr>
          <w:rFonts w:eastAsia="Times New Roman"/>
          <w:i/>
        </w:rPr>
        <w:t>Bondavalli c. Italie</w:t>
      </w:r>
      <w:r w:rsidRPr="000413E2">
        <w:rPr>
          <w:rFonts w:eastAsia="Times New Roman"/>
        </w:rPr>
        <w:t>, n</w:t>
      </w:r>
      <w:r w:rsidRPr="000413E2">
        <w:rPr>
          <w:rFonts w:eastAsia="Times New Roman"/>
          <w:vertAlign w:val="superscript"/>
        </w:rPr>
        <w:t>o</w:t>
      </w:r>
      <w:r w:rsidRPr="000413E2">
        <w:rPr>
          <w:rFonts w:eastAsia="Times New Roman"/>
        </w:rPr>
        <w:t> </w:t>
      </w:r>
      <w:hyperlink r:id="rId25" w:anchor="{&quot;appno&quot;:[&quot;35532/12&quot;]}" w:tgtFrame="_blank" w:history="1">
        <w:r w:rsidRPr="000413E2">
          <w:rPr>
            <w:rFonts w:eastAsia="Times New Roman"/>
          </w:rPr>
          <w:t>35532/12</w:t>
        </w:r>
      </w:hyperlink>
      <w:r w:rsidRPr="000413E2">
        <w:rPr>
          <w:rFonts w:eastAsia="Times New Roman"/>
        </w:rPr>
        <w:t>, § 75, 17 novembre 2015) et à examiner la manière dont elles sont intervenues pour faciliter l</w:t>
      </w:r>
      <w:r w:rsidR="000413E2" w:rsidRPr="000413E2">
        <w:rPr>
          <w:rFonts w:eastAsia="Times New Roman"/>
        </w:rPr>
        <w:t>’</w:t>
      </w:r>
      <w:r w:rsidRPr="000413E2">
        <w:rPr>
          <w:rFonts w:eastAsia="Times New Roman"/>
        </w:rPr>
        <w:t>exercice du droit de visite du requérant tel que défini par les décisions de justice (</w:t>
      </w:r>
      <w:r w:rsidRPr="000413E2">
        <w:rPr>
          <w:rFonts w:eastAsia="Times New Roman"/>
          <w:i/>
        </w:rPr>
        <w:t>Hokkanen c. Finlande</w:t>
      </w:r>
      <w:r w:rsidRPr="000413E2">
        <w:rPr>
          <w:rFonts w:eastAsia="Times New Roman"/>
        </w:rPr>
        <w:t>, 23 septembre 1994, § 58, série A n</w:t>
      </w:r>
      <w:r w:rsidRPr="000413E2">
        <w:rPr>
          <w:rFonts w:eastAsia="Times New Roman"/>
          <w:vertAlign w:val="superscript"/>
        </w:rPr>
        <w:t>o</w:t>
      </w:r>
      <w:r w:rsidRPr="000413E2">
        <w:rPr>
          <w:rFonts w:eastAsia="Times New Roman"/>
        </w:rPr>
        <w:t xml:space="preserve"> 299</w:t>
      </w:r>
      <w:r w:rsidRPr="000413E2">
        <w:rPr>
          <w:rFonts w:eastAsia="Times New Roman"/>
        </w:rPr>
        <w:noBreakHyphen/>
        <w:t xml:space="preserve">A, et </w:t>
      </w:r>
      <w:r w:rsidRPr="000413E2">
        <w:rPr>
          <w:rFonts w:eastAsia="Times New Roman"/>
          <w:i/>
        </w:rPr>
        <w:t>Kuppinger c. Allemagne</w:t>
      </w:r>
      <w:r w:rsidRPr="000413E2">
        <w:rPr>
          <w:rFonts w:eastAsia="Times New Roman"/>
        </w:rPr>
        <w:t>, n</w:t>
      </w:r>
      <w:r w:rsidRPr="000413E2">
        <w:rPr>
          <w:rFonts w:eastAsia="Times New Roman"/>
          <w:vertAlign w:val="superscript"/>
        </w:rPr>
        <w:t>o</w:t>
      </w:r>
      <w:r w:rsidR="00D931D5" w:rsidRPr="000413E2">
        <w:rPr>
          <w:rFonts w:eastAsia="Times New Roman"/>
          <w:vertAlign w:val="superscript"/>
        </w:rPr>
        <w:t xml:space="preserve"> </w:t>
      </w:r>
      <w:hyperlink r:id="rId26" w:anchor="{&quot;appno&quot;:[&quot;62198/11&quot;]}" w:tgtFrame="_blank" w:history="1">
        <w:r w:rsidRPr="000413E2">
          <w:rPr>
            <w:rFonts w:eastAsia="Times New Roman"/>
          </w:rPr>
          <w:t>62198/11</w:t>
        </w:r>
      </w:hyperlink>
      <w:r w:rsidR="00D931D5" w:rsidRPr="000413E2">
        <w:rPr>
          <w:rFonts w:eastAsia="Times New Roman"/>
        </w:rPr>
        <w:t xml:space="preserve">, § 105, 15 janvier </w:t>
      </w:r>
      <w:r w:rsidRPr="000413E2">
        <w:rPr>
          <w:rFonts w:eastAsia="Times New Roman"/>
        </w:rPr>
        <w:t>2015). Elle rappelle aussi, que, dans une affaire de ce type, le caractère adéquat d</w:t>
      </w:r>
      <w:r w:rsidR="000413E2" w:rsidRPr="000413E2">
        <w:rPr>
          <w:rFonts w:eastAsia="Times New Roman"/>
        </w:rPr>
        <w:t>’</w:t>
      </w:r>
      <w:r w:rsidRPr="000413E2">
        <w:rPr>
          <w:rFonts w:eastAsia="Times New Roman"/>
        </w:rPr>
        <w:t>une mesure se juge à la rapidité de sa mise en œuvre (</w:t>
      </w:r>
      <w:r w:rsidRPr="000413E2">
        <w:rPr>
          <w:rFonts w:eastAsia="Times New Roman"/>
          <w:i/>
        </w:rPr>
        <w:t>Piazzi c. Italie</w:t>
      </w:r>
      <w:r w:rsidRPr="000413E2">
        <w:rPr>
          <w:rFonts w:eastAsia="Times New Roman"/>
        </w:rPr>
        <w:t>, n</w:t>
      </w:r>
      <w:r w:rsidRPr="000413E2">
        <w:rPr>
          <w:rFonts w:eastAsia="Times New Roman"/>
          <w:vertAlign w:val="superscript"/>
        </w:rPr>
        <w:t>o</w:t>
      </w:r>
      <w:r w:rsidRPr="000413E2">
        <w:rPr>
          <w:rFonts w:eastAsia="Times New Roman"/>
        </w:rPr>
        <w:t> </w:t>
      </w:r>
      <w:hyperlink r:id="rId27" w:anchor="{&quot;appno&quot;:[&quot;36168/09&quot;]}" w:tgtFrame="_blank" w:history="1">
        <w:r w:rsidRPr="000413E2">
          <w:rPr>
            <w:rFonts w:eastAsia="Times New Roman"/>
          </w:rPr>
          <w:t>36168/09</w:t>
        </w:r>
      </w:hyperlink>
      <w:r w:rsidRPr="000413E2">
        <w:rPr>
          <w:rFonts w:eastAsia="Times New Roman"/>
        </w:rPr>
        <w:t>, §</w:t>
      </w:r>
      <w:r w:rsidR="001A68CF" w:rsidRPr="000413E2">
        <w:rPr>
          <w:rFonts w:eastAsia="Times New Roman"/>
        </w:rPr>
        <w:t> </w:t>
      </w:r>
      <w:r w:rsidRPr="000413E2">
        <w:rPr>
          <w:rFonts w:eastAsia="Times New Roman"/>
        </w:rPr>
        <w:t>58, 2 novembre 2010) pour éviter que l</w:t>
      </w:r>
      <w:r w:rsidR="000413E2" w:rsidRPr="000413E2">
        <w:rPr>
          <w:rFonts w:eastAsia="Times New Roman"/>
        </w:rPr>
        <w:t>’</w:t>
      </w:r>
      <w:r w:rsidRPr="000413E2">
        <w:rPr>
          <w:rFonts w:eastAsia="Times New Roman"/>
        </w:rPr>
        <w:t>écoulement du temps puisse avoir, à lui seul, des conséquences sur la relation d</w:t>
      </w:r>
      <w:r w:rsidR="000413E2" w:rsidRPr="000413E2">
        <w:rPr>
          <w:rFonts w:eastAsia="Times New Roman"/>
        </w:rPr>
        <w:t>’</w:t>
      </w:r>
      <w:r w:rsidRPr="000413E2">
        <w:rPr>
          <w:rFonts w:eastAsia="Times New Roman"/>
        </w:rPr>
        <w:t>un parent avec son enfant.</w:t>
      </w:r>
      <w:bookmarkStart w:id="26" w:name="p69"/>
    </w:p>
    <w:bookmarkStart w:id="27" w:name="P56"/>
    <w:bookmarkEnd w:id="26"/>
    <w:p w:rsidR="00025024" w:rsidRPr="000413E2" w:rsidRDefault="00025024" w:rsidP="000413E2">
      <w:pPr>
        <w:pStyle w:val="JuPara"/>
      </w:pPr>
      <w:r w:rsidRPr="000413E2">
        <w:rPr>
          <w:rFonts w:eastAsia="Times New Roman"/>
        </w:rPr>
        <w:fldChar w:fldCharType="begin"/>
      </w:r>
      <w:r w:rsidRPr="000413E2">
        <w:rPr>
          <w:rFonts w:eastAsia="Times New Roman"/>
        </w:rPr>
        <w:instrText xml:space="preserve"> SEQ level0 \*arabic </w:instrText>
      </w:r>
      <w:r w:rsidRPr="000413E2">
        <w:rPr>
          <w:rFonts w:eastAsia="Times New Roman"/>
        </w:rPr>
        <w:fldChar w:fldCharType="separate"/>
      </w:r>
      <w:r w:rsidR="000413E2" w:rsidRPr="000413E2">
        <w:rPr>
          <w:rFonts w:eastAsia="Times New Roman"/>
          <w:noProof/>
        </w:rPr>
        <w:t>55</w:t>
      </w:r>
      <w:r w:rsidRPr="000413E2">
        <w:rPr>
          <w:rFonts w:eastAsia="Times New Roman"/>
        </w:rPr>
        <w:fldChar w:fldCharType="end"/>
      </w:r>
      <w:r w:rsidRPr="000413E2">
        <w:rPr>
          <w:rFonts w:eastAsia="Times New Roman"/>
        </w:rPr>
        <w:t>.</w:t>
      </w:r>
      <w:bookmarkEnd w:id="27"/>
      <w:r w:rsidRPr="000413E2">
        <w:rPr>
          <w:rFonts w:eastAsia="Times New Roman"/>
        </w:rPr>
        <w:t>  La Cour relève que, à partir de 2010, quand l</w:t>
      </w:r>
      <w:r w:rsidR="000413E2" w:rsidRPr="000413E2">
        <w:rPr>
          <w:rFonts w:eastAsia="Times New Roman"/>
        </w:rPr>
        <w:t>’</w:t>
      </w:r>
      <w:r w:rsidRPr="000413E2">
        <w:rPr>
          <w:rFonts w:eastAsia="Times New Roman"/>
        </w:rPr>
        <w:t>enfant n</w:t>
      </w:r>
      <w:r w:rsidR="000413E2" w:rsidRPr="000413E2">
        <w:rPr>
          <w:rFonts w:eastAsia="Times New Roman"/>
        </w:rPr>
        <w:t>’</w:t>
      </w:r>
      <w:r w:rsidRPr="000413E2">
        <w:rPr>
          <w:rFonts w:eastAsia="Times New Roman"/>
        </w:rPr>
        <w:t>avait que deux ans, le requérant n</w:t>
      </w:r>
      <w:r w:rsidR="000413E2" w:rsidRPr="000413E2">
        <w:rPr>
          <w:rFonts w:eastAsia="Times New Roman"/>
        </w:rPr>
        <w:t>’</w:t>
      </w:r>
      <w:r w:rsidRPr="000413E2">
        <w:rPr>
          <w:rFonts w:eastAsia="Times New Roman"/>
        </w:rPr>
        <w:t>a cessé de demander au tribunal l</w:t>
      </w:r>
      <w:r w:rsidR="000413E2" w:rsidRPr="000413E2">
        <w:rPr>
          <w:rFonts w:eastAsia="Times New Roman"/>
        </w:rPr>
        <w:t>’</w:t>
      </w:r>
      <w:r w:rsidRPr="000413E2">
        <w:rPr>
          <w:rFonts w:eastAsia="Times New Roman"/>
        </w:rPr>
        <w:t>organisation de rencontres avec son fils, mais qu</w:t>
      </w:r>
      <w:r w:rsidR="000413E2" w:rsidRPr="000413E2">
        <w:rPr>
          <w:rFonts w:eastAsia="Times New Roman"/>
        </w:rPr>
        <w:t>’</w:t>
      </w:r>
      <w:r w:rsidRPr="000413E2">
        <w:rPr>
          <w:rFonts w:eastAsia="Times New Roman"/>
        </w:rPr>
        <w:t>il n</w:t>
      </w:r>
      <w:r w:rsidR="000413E2" w:rsidRPr="000413E2">
        <w:rPr>
          <w:rFonts w:eastAsia="Times New Roman"/>
        </w:rPr>
        <w:t>’</w:t>
      </w:r>
      <w:r w:rsidRPr="000413E2">
        <w:rPr>
          <w:rFonts w:eastAsia="Times New Roman"/>
        </w:rPr>
        <w:t>a pu exercer son droit de visite que de manière très limitée en raison de l</w:t>
      </w:r>
      <w:r w:rsidR="000413E2" w:rsidRPr="000413E2">
        <w:rPr>
          <w:rFonts w:eastAsia="Times New Roman"/>
        </w:rPr>
        <w:t>’</w:t>
      </w:r>
      <w:r w:rsidRPr="000413E2">
        <w:rPr>
          <w:rFonts w:eastAsia="Times New Roman"/>
        </w:rPr>
        <w:t>opposition de la mère de l</w:t>
      </w:r>
      <w:r w:rsidR="000413E2" w:rsidRPr="000413E2">
        <w:rPr>
          <w:rFonts w:eastAsia="Times New Roman"/>
        </w:rPr>
        <w:t>’</w:t>
      </w:r>
      <w:r w:rsidRPr="000413E2">
        <w:rPr>
          <w:rFonts w:eastAsia="Times New Roman"/>
        </w:rPr>
        <w:t>enfant. Entre 2011 et 2012, après le déménagement de la mère de l</w:t>
      </w:r>
      <w:r w:rsidR="000413E2" w:rsidRPr="000413E2">
        <w:rPr>
          <w:rFonts w:eastAsia="Times New Roman"/>
        </w:rPr>
        <w:t>’</w:t>
      </w:r>
      <w:r w:rsidRPr="000413E2">
        <w:rPr>
          <w:rFonts w:eastAsia="Times New Roman"/>
        </w:rPr>
        <w:t>enfant dans une autre ville, le requérant n</w:t>
      </w:r>
      <w:r w:rsidR="000413E2" w:rsidRPr="000413E2">
        <w:rPr>
          <w:rFonts w:eastAsia="Times New Roman"/>
        </w:rPr>
        <w:t>’</w:t>
      </w:r>
      <w:r w:rsidRPr="000413E2">
        <w:rPr>
          <w:rFonts w:eastAsia="Times New Roman"/>
        </w:rPr>
        <w:t>a pas réussi à rencontrer régulièrement son fils en raison, en particulier, de l</w:t>
      </w:r>
      <w:r w:rsidR="000413E2" w:rsidRPr="000413E2">
        <w:rPr>
          <w:rFonts w:eastAsia="Times New Roman"/>
        </w:rPr>
        <w:t>’</w:t>
      </w:r>
      <w:r w:rsidRPr="000413E2">
        <w:rPr>
          <w:rFonts w:eastAsia="Times New Roman"/>
        </w:rPr>
        <w:t xml:space="preserve">opposition de la mère au déroulement des rencontres (paragraphes </w:t>
      </w:r>
      <w:r w:rsidRPr="000413E2">
        <w:rPr>
          <w:rFonts w:eastAsia="Times New Roman"/>
        </w:rPr>
        <w:fldChar w:fldCharType="begin"/>
      </w:r>
      <w:r w:rsidRPr="000413E2">
        <w:rPr>
          <w:rFonts w:eastAsia="Times New Roman"/>
        </w:rPr>
        <w:instrText xml:space="preserve"> REF P10 \h  \* MERGEFORMAT </w:instrText>
      </w:r>
      <w:r w:rsidRPr="000413E2">
        <w:rPr>
          <w:rFonts w:eastAsia="Times New Roman"/>
        </w:rPr>
      </w:r>
      <w:r w:rsidRPr="000413E2">
        <w:rPr>
          <w:rFonts w:eastAsia="Times New Roman"/>
        </w:rPr>
        <w:fldChar w:fldCharType="separate"/>
      </w:r>
      <w:r w:rsidR="000413E2" w:rsidRPr="000413E2">
        <w:t>11</w:t>
      </w:r>
      <w:r w:rsidRPr="000413E2">
        <w:rPr>
          <w:rFonts w:eastAsia="Times New Roman"/>
        </w:rPr>
        <w:fldChar w:fldCharType="end"/>
      </w:r>
      <w:r w:rsidRPr="000413E2">
        <w:rPr>
          <w:rFonts w:eastAsia="Times New Roman"/>
        </w:rPr>
        <w:t>-</w:t>
      </w:r>
      <w:r w:rsidRPr="000413E2">
        <w:rPr>
          <w:rFonts w:eastAsia="Times New Roman"/>
        </w:rPr>
        <w:fldChar w:fldCharType="begin"/>
      </w:r>
      <w:r w:rsidRPr="000413E2">
        <w:rPr>
          <w:rFonts w:eastAsia="Times New Roman"/>
        </w:rPr>
        <w:instrText xml:space="preserve"> REF P14 \h  \* MERGEFORMAT </w:instrText>
      </w:r>
      <w:r w:rsidRPr="000413E2">
        <w:rPr>
          <w:rFonts w:eastAsia="Times New Roman"/>
        </w:rPr>
      </w:r>
      <w:r w:rsidRPr="000413E2">
        <w:rPr>
          <w:rFonts w:eastAsia="Times New Roman"/>
        </w:rPr>
        <w:fldChar w:fldCharType="separate"/>
      </w:r>
      <w:r w:rsidR="000413E2" w:rsidRPr="000413E2">
        <w:t>15</w:t>
      </w:r>
      <w:r w:rsidRPr="000413E2">
        <w:rPr>
          <w:rFonts w:eastAsia="Times New Roman"/>
        </w:rPr>
        <w:fldChar w:fldCharType="end"/>
      </w:r>
      <w:r w:rsidRPr="000413E2">
        <w:rPr>
          <w:rFonts w:eastAsia="Times New Roman"/>
        </w:rPr>
        <w:t xml:space="preserve"> ci-dessus). Les services sociaux ont demandé au tribunal d</w:t>
      </w:r>
      <w:r w:rsidR="000413E2" w:rsidRPr="000413E2">
        <w:rPr>
          <w:rFonts w:eastAsia="Times New Roman"/>
        </w:rPr>
        <w:t>’</w:t>
      </w:r>
      <w:r w:rsidRPr="000413E2">
        <w:rPr>
          <w:rFonts w:eastAsia="Times New Roman"/>
        </w:rPr>
        <w:t>ordonner une expertise sur les capacités parentales de A.G. et du requérant, mais le tribunal n</w:t>
      </w:r>
      <w:r w:rsidR="000413E2" w:rsidRPr="000413E2">
        <w:rPr>
          <w:rFonts w:eastAsia="Times New Roman"/>
        </w:rPr>
        <w:t>’</w:t>
      </w:r>
      <w:r w:rsidRPr="000413E2">
        <w:rPr>
          <w:rFonts w:eastAsia="Times New Roman"/>
        </w:rPr>
        <w:t>a pas donné suite à cette demande.</w:t>
      </w:r>
    </w:p>
    <w:p w:rsidR="00025024" w:rsidRPr="000413E2" w:rsidRDefault="00025024" w:rsidP="000413E2">
      <w:pPr>
        <w:pStyle w:val="JuPara"/>
      </w:pPr>
      <w:r w:rsidRPr="000413E2">
        <w:fldChar w:fldCharType="begin"/>
      </w:r>
      <w:r w:rsidRPr="000413E2">
        <w:instrText xml:space="preserve"> SEQ level0 \*arabic </w:instrText>
      </w:r>
      <w:r w:rsidRPr="000413E2">
        <w:fldChar w:fldCharType="separate"/>
      </w:r>
      <w:r w:rsidR="000413E2" w:rsidRPr="000413E2">
        <w:rPr>
          <w:noProof/>
        </w:rPr>
        <w:t>56</w:t>
      </w:r>
      <w:r w:rsidRPr="000413E2">
        <w:fldChar w:fldCharType="end"/>
      </w:r>
      <w:r w:rsidRPr="000413E2">
        <w:t>.  Après avoir observé que A.G. persévérait dans son attitude d</w:t>
      </w:r>
      <w:r w:rsidR="000413E2" w:rsidRPr="000413E2">
        <w:t>’</w:t>
      </w:r>
      <w:r w:rsidRPr="000413E2">
        <w:t>opposition à l</w:t>
      </w:r>
      <w:r w:rsidR="000413E2" w:rsidRPr="000413E2">
        <w:t>’</w:t>
      </w:r>
      <w:r w:rsidRPr="000413E2">
        <w:t>égard des rencontres entre le requérant et l</w:t>
      </w:r>
      <w:r w:rsidR="000413E2" w:rsidRPr="000413E2">
        <w:t>’</w:t>
      </w:r>
      <w:r w:rsidRPr="000413E2">
        <w:t>enfant, le tribunal pour enfants décida, en 2012, de révoquer sa précédente décision, confia la garde aux deux parents et fixa la résidence de l</w:t>
      </w:r>
      <w:r w:rsidR="000413E2" w:rsidRPr="000413E2">
        <w:t>’</w:t>
      </w:r>
      <w:r w:rsidRPr="000413E2">
        <w:t>enfant chez la mère. Il rappela que, en cas de non-respect de ladite décision, il pourrait prendre une décision différente concernant la garde de l</w:t>
      </w:r>
      <w:r w:rsidR="000413E2" w:rsidRPr="000413E2">
        <w:t>’</w:t>
      </w:r>
      <w:r w:rsidRPr="000413E2">
        <w:t>enfant.</w:t>
      </w:r>
    </w:p>
    <w:p w:rsidR="00025024" w:rsidRPr="000413E2" w:rsidRDefault="00025024" w:rsidP="000413E2">
      <w:pPr>
        <w:pStyle w:val="JuPara"/>
      </w:pPr>
      <w:r w:rsidRPr="000413E2">
        <w:fldChar w:fldCharType="begin"/>
      </w:r>
      <w:r w:rsidRPr="000413E2">
        <w:instrText xml:space="preserve"> SEQ level0 \*arabic </w:instrText>
      </w:r>
      <w:r w:rsidRPr="000413E2">
        <w:fldChar w:fldCharType="separate"/>
      </w:r>
      <w:r w:rsidR="000413E2" w:rsidRPr="000413E2">
        <w:rPr>
          <w:noProof/>
        </w:rPr>
        <w:t>57</w:t>
      </w:r>
      <w:r w:rsidRPr="000413E2">
        <w:fldChar w:fldCharType="end"/>
      </w:r>
      <w:r w:rsidRPr="000413E2">
        <w:t>.  En janvier 2013, la mère de l</w:t>
      </w:r>
      <w:r w:rsidR="000413E2" w:rsidRPr="000413E2">
        <w:t>’</w:t>
      </w:r>
      <w:r w:rsidRPr="000413E2">
        <w:t>enfant introduisit un recours devant le juge des tutelles de Rome qui demanda aux services sociaux de déposer un rapport sur la situation de l</w:t>
      </w:r>
      <w:r w:rsidR="000413E2" w:rsidRPr="000413E2">
        <w:t>’</w:t>
      </w:r>
      <w:r w:rsidRPr="000413E2">
        <w:t>enfant. La Cour note que le rapport faisait état d</w:t>
      </w:r>
      <w:r w:rsidR="000413E2" w:rsidRPr="000413E2">
        <w:t>’</w:t>
      </w:r>
      <w:r w:rsidRPr="000413E2">
        <w:t>une difficulté croissante du requérant à rencontrer son fils en raison du comportement de la mère.</w:t>
      </w:r>
    </w:p>
    <w:p w:rsidR="00025024" w:rsidRPr="000413E2" w:rsidRDefault="00025024" w:rsidP="000413E2">
      <w:pPr>
        <w:pStyle w:val="JuPara"/>
      </w:pPr>
      <w:r w:rsidRPr="000413E2">
        <w:fldChar w:fldCharType="begin"/>
      </w:r>
      <w:r w:rsidRPr="000413E2">
        <w:instrText xml:space="preserve"> SEQ level0 \*arabic </w:instrText>
      </w:r>
      <w:r w:rsidRPr="000413E2">
        <w:fldChar w:fldCharType="separate"/>
      </w:r>
      <w:r w:rsidR="000413E2" w:rsidRPr="000413E2">
        <w:rPr>
          <w:noProof/>
        </w:rPr>
        <w:t>58</w:t>
      </w:r>
      <w:r w:rsidRPr="000413E2">
        <w:fldChar w:fldCharType="end"/>
      </w:r>
      <w:r w:rsidRPr="000413E2">
        <w:t>.  En septembre 2014, le juge des tutelles chargea les services sociaux de Rome d</w:t>
      </w:r>
      <w:r w:rsidR="000413E2" w:rsidRPr="000413E2">
        <w:t>’</w:t>
      </w:r>
      <w:r w:rsidRPr="000413E2">
        <w:t>informer le tribunal pour enfants de la difficulté du requérant à exercer son droit de visite. Il constata que le droit de visite n</w:t>
      </w:r>
      <w:r w:rsidR="000413E2" w:rsidRPr="000413E2">
        <w:t>’</w:t>
      </w:r>
      <w:r w:rsidRPr="000413E2">
        <w:t>avait pas été respecté et que cela était la conséquence non seulement du comportement d</w:t>
      </w:r>
      <w:r w:rsidR="000413E2" w:rsidRPr="000413E2">
        <w:t>’</w:t>
      </w:r>
      <w:r w:rsidRPr="000413E2">
        <w:t>opposition</w:t>
      </w:r>
      <w:r w:rsidRPr="000413E2">
        <w:rPr>
          <w:color w:val="FF0000"/>
        </w:rPr>
        <w:t xml:space="preserve"> </w:t>
      </w:r>
      <w:r w:rsidRPr="000413E2">
        <w:t>de la mère mais également du refus de l</w:t>
      </w:r>
      <w:r w:rsidR="000413E2" w:rsidRPr="000413E2">
        <w:t>’</w:t>
      </w:r>
      <w:r w:rsidRPr="000413E2">
        <w:t>enfant de rencontrer le requérant, lequel ne s</w:t>
      </w:r>
      <w:r w:rsidR="000413E2" w:rsidRPr="000413E2">
        <w:t>’</w:t>
      </w:r>
      <w:r w:rsidRPr="000413E2">
        <w:t>investissait pas assez dans la relation avec son fils.</w:t>
      </w:r>
    </w:p>
    <w:p w:rsidR="00025024" w:rsidRPr="000413E2" w:rsidRDefault="00025024" w:rsidP="000413E2">
      <w:pPr>
        <w:pStyle w:val="JuPara"/>
      </w:pPr>
      <w:r w:rsidRPr="000413E2">
        <w:fldChar w:fldCharType="begin"/>
      </w:r>
      <w:r w:rsidRPr="000413E2">
        <w:instrText xml:space="preserve"> SEQ level0 \*arabic </w:instrText>
      </w:r>
      <w:r w:rsidRPr="000413E2">
        <w:fldChar w:fldCharType="separate"/>
      </w:r>
      <w:r w:rsidR="000413E2" w:rsidRPr="000413E2">
        <w:rPr>
          <w:noProof/>
        </w:rPr>
        <w:t>59</w:t>
      </w:r>
      <w:r w:rsidRPr="000413E2">
        <w:fldChar w:fldCharType="end"/>
      </w:r>
      <w:r w:rsidRPr="000413E2">
        <w:t>.  La Cour note qu</w:t>
      </w:r>
      <w:r w:rsidR="000413E2" w:rsidRPr="000413E2">
        <w:t>’</w:t>
      </w:r>
      <w:r w:rsidRPr="000413E2">
        <w:t>à ce moment précis, en 2015, le procureur, sur la base des nouvelles informations reçues par les services sociaux, introduisit un recours devant le tribunal de Rome visant à obtenir la déchéance ou la limitation de l</w:t>
      </w:r>
      <w:r w:rsidR="000413E2" w:rsidRPr="000413E2">
        <w:t>’</w:t>
      </w:r>
      <w:r w:rsidRPr="000413E2">
        <w:t>autorité parentale de la mère sur la base de la décision que ce même tribunal avait prise le 24 septembre 2012.</w:t>
      </w:r>
    </w:p>
    <w:p w:rsidR="00025024" w:rsidRPr="000413E2" w:rsidRDefault="00025024" w:rsidP="000413E2">
      <w:pPr>
        <w:pStyle w:val="JuPara"/>
      </w:pPr>
      <w:r w:rsidRPr="000413E2">
        <w:fldChar w:fldCharType="begin"/>
      </w:r>
      <w:r w:rsidRPr="000413E2">
        <w:instrText xml:space="preserve"> SEQ level0 \*arabic </w:instrText>
      </w:r>
      <w:r w:rsidRPr="000413E2">
        <w:fldChar w:fldCharType="separate"/>
      </w:r>
      <w:r w:rsidR="000413E2" w:rsidRPr="000413E2">
        <w:rPr>
          <w:noProof/>
        </w:rPr>
        <w:t>60</w:t>
      </w:r>
      <w:r w:rsidRPr="000413E2">
        <w:fldChar w:fldCharType="end"/>
      </w:r>
      <w:r w:rsidRPr="000413E2">
        <w:t>.  Le tribunal demanda une expertise sur les capacités parentales du requérant et de A.G. pour décembre 2015. La Cour note que l</w:t>
      </w:r>
      <w:r w:rsidR="000413E2" w:rsidRPr="000413E2">
        <w:t>’</w:t>
      </w:r>
      <w:r w:rsidRPr="000413E2">
        <w:t xml:space="preserve">expertise ne </w:t>
      </w:r>
      <w:r w:rsidRPr="000413E2">
        <w:lastRenderedPageBreak/>
        <w:t>fut déposée qu</w:t>
      </w:r>
      <w:r w:rsidR="000413E2" w:rsidRPr="000413E2">
        <w:t>’</w:t>
      </w:r>
      <w:r w:rsidRPr="000413E2">
        <w:t>en octobre 2016, soit environ neuf mois plus tard, et que le requérant ne put exercer son droit de visite.</w:t>
      </w:r>
    </w:p>
    <w:bookmarkStart w:id="28" w:name="P62"/>
    <w:p w:rsidR="00025024" w:rsidRPr="000413E2" w:rsidRDefault="00025024" w:rsidP="000413E2">
      <w:pPr>
        <w:pStyle w:val="JuPara"/>
      </w:pPr>
      <w:r w:rsidRPr="000413E2">
        <w:fldChar w:fldCharType="begin"/>
      </w:r>
      <w:r w:rsidRPr="000413E2">
        <w:instrText xml:space="preserve"> SEQ level0 \*arabic </w:instrText>
      </w:r>
      <w:r w:rsidRPr="000413E2">
        <w:fldChar w:fldCharType="separate"/>
      </w:r>
      <w:r w:rsidR="000413E2" w:rsidRPr="000413E2">
        <w:rPr>
          <w:noProof/>
        </w:rPr>
        <w:t>61</w:t>
      </w:r>
      <w:r w:rsidRPr="000413E2">
        <w:fldChar w:fldCharType="end"/>
      </w:r>
      <w:bookmarkEnd w:id="28"/>
      <w:r w:rsidRPr="000413E2">
        <w:t>.  Le 28 novembre 2016, le tribunal, sur la base de l</w:t>
      </w:r>
      <w:r w:rsidR="000413E2" w:rsidRPr="000413E2">
        <w:t>’</w:t>
      </w:r>
      <w:r w:rsidRPr="000413E2">
        <w:t>expertise qui faisait état d</w:t>
      </w:r>
      <w:r w:rsidR="000413E2" w:rsidRPr="000413E2">
        <w:t>’</w:t>
      </w:r>
      <w:r w:rsidRPr="000413E2">
        <w:t>un mal-être croissant de l</w:t>
      </w:r>
      <w:r w:rsidR="000413E2" w:rsidRPr="000413E2">
        <w:t>’</w:t>
      </w:r>
      <w:r w:rsidRPr="000413E2">
        <w:t>enfant, décida que le placement était la meilleure solution pour le préserver d</w:t>
      </w:r>
      <w:r w:rsidR="000413E2" w:rsidRPr="000413E2">
        <w:t>’</w:t>
      </w:r>
      <w:r w:rsidRPr="000413E2">
        <w:t>un environnement familial préjudiciable qui ne prenait pas en compte son bien-être ni ses besoins.</w:t>
      </w:r>
    </w:p>
    <w:p w:rsidR="00025024" w:rsidRPr="000413E2" w:rsidRDefault="00025024" w:rsidP="000413E2">
      <w:pPr>
        <w:pStyle w:val="JuPara"/>
        <w:rPr>
          <w:b/>
        </w:rPr>
      </w:pPr>
      <w:r w:rsidRPr="000413E2">
        <w:rPr>
          <w:rFonts w:eastAsia="Times New Roman"/>
        </w:rPr>
        <w:fldChar w:fldCharType="begin"/>
      </w:r>
      <w:r w:rsidRPr="000413E2">
        <w:rPr>
          <w:rFonts w:eastAsia="Times New Roman"/>
        </w:rPr>
        <w:instrText xml:space="preserve"> SEQ level0 \*arabic </w:instrText>
      </w:r>
      <w:r w:rsidRPr="000413E2">
        <w:rPr>
          <w:rFonts w:eastAsia="Times New Roman"/>
        </w:rPr>
        <w:fldChar w:fldCharType="separate"/>
      </w:r>
      <w:r w:rsidR="000413E2" w:rsidRPr="000413E2">
        <w:rPr>
          <w:rFonts w:eastAsia="Times New Roman"/>
          <w:noProof/>
        </w:rPr>
        <w:t>62</w:t>
      </w:r>
      <w:r w:rsidRPr="000413E2">
        <w:rPr>
          <w:rFonts w:eastAsia="Times New Roman"/>
        </w:rPr>
        <w:fldChar w:fldCharType="end"/>
      </w:r>
      <w:r w:rsidRPr="000413E2">
        <w:rPr>
          <w:rFonts w:eastAsia="Times New Roman"/>
        </w:rPr>
        <w:t>.  La Cour rappelle qu</w:t>
      </w:r>
      <w:r w:rsidR="000413E2" w:rsidRPr="000413E2">
        <w:rPr>
          <w:rFonts w:eastAsia="Times New Roman"/>
        </w:rPr>
        <w:t>’</w:t>
      </w:r>
      <w:r w:rsidRPr="000413E2">
        <w:rPr>
          <w:rFonts w:eastAsia="Times New Roman"/>
        </w:rPr>
        <w:t>il ne lui appartient pas de substituer son appréciation à celle des autorités nationales compétentes quant aux mesures qui auraient dû être prises, car ces autorités sont en principe mieux placées pour procéder à une telle évaluation, en particulier parce qu</w:t>
      </w:r>
      <w:r w:rsidR="000413E2" w:rsidRPr="000413E2">
        <w:rPr>
          <w:rFonts w:eastAsia="Times New Roman"/>
        </w:rPr>
        <w:t>’</w:t>
      </w:r>
      <w:r w:rsidRPr="000413E2">
        <w:rPr>
          <w:rFonts w:eastAsia="Times New Roman"/>
        </w:rPr>
        <w:t>elles sont en contact direct avec le contexte de l</w:t>
      </w:r>
      <w:r w:rsidR="000413E2" w:rsidRPr="000413E2">
        <w:rPr>
          <w:rFonts w:eastAsia="Times New Roman"/>
        </w:rPr>
        <w:t>’</w:t>
      </w:r>
      <w:r w:rsidRPr="000413E2">
        <w:rPr>
          <w:rFonts w:eastAsia="Times New Roman"/>
        </w:rPr>
        <w:t>affaire et les parties impliquées (</w:t>
      </w:r>
      <w:r w:rsidR="000413E2" w:rsidRPr="000413E2">
        <w:rPr>
          <w:rFonts w:eastAsia="Times New Roman"/>
          <w:i/>
        </w:rPr>
        <w:t>Reigado </w:t>
      </w:r>
      <w:r w:rsidRPr="000413E2">
        <w:rPr>
          <w:rFonts w:eastAsia="Times New Roman"/>
          <w:i/>
        </w:rPr>
        <w:t>Ramos</w:t>
      </w:r>
      <w:r w:rsidRPr="000413E2">
        <w:rPr>
          <w:rFonts w:eastAsia="Times New Roman"/>
        </w:rPr>
        <w:t>, précité, § 53). Pour autant, elle ne peut en l</w:t>
      </w:r>
      <w:r w:rsidR="000413E2" w:rsidRPr="000413E2">
        <w:rPr>
          <w:rFonts w:eastAsia="Times New Roman"/>
        </w:rPr>
        <w:t>’</w:t>
      </w:r>
      <w:r w:rsidRPr="000413E2">
        <w:rPr>
          <w:rFonts w:eastAsia="Times New Roman"/>
        </w:rPr>
        <w:t xml:space="preserve">espèce ignorer les faits précédemment exposés (paragraphes </w:t>
      </w:r>
      <w:r w:rsidRPr="000413E2">
        <w:rPr>
          <w:rFonts w:eastAsia="Times New Roman"/>
        </w:rPr>
        <w:fldChar w:fldCharType="begin"/>
      </w:r>
      <w:r w:rsidRPr="000413E2">
        <w:rPr>
          <w:rFonts w:eastAsia="Times New Roman"/>
        </w:rPr>
        <w:instrText xml:space="preserve"> REF P56 \h  \* MERGEFORMAT </w:instrText>
      </w:r>
      <w:r w:rsidRPr="000413E2">
        <w:rPr>
          <w:rFonts w:eastAsia="Times New Roman"/>
        </w:rPr>
      </w:r>
      <w:r w:rsidRPr="000413E2">
        <w:rPr>
          <w:rFonts w:eastAsia="Times New Roman"/>
        </w:rPr>
        <w:fldChar w:fldCharType="separate"/>
      </w:r>
      <w:r w:rsidR="000413E2" w:rsidRPr="000413E2">
        <w:rPr>
          <w:rFonts w:eastAsia="Times New Roman"/>
        </w:rPr>
        <w:t>55.</w:t>
      </w:r>
      <w:r w:rsidRPr="000413E2">
        <w:rPr>
          <w:rFonts w:eastAsia="Times New Roman"/>
        </w:rPr>
        <w:fldChar w:fldCharType="end"/>
      </w:r>
      <w:r w:rsidRPr="000413E2">
        <w:rPr>
          <w:rFonts w:eastAsia="Times New Roman"/>
        </w:rPr>
        <w:t>-</w:t>
      </w:r>
      <w:r w:rsidRPr="000413E2">
        <w:rPr>
          <w:rFonts w:eastAsia="Times New Roman"/>
        </w:rPr>
        <w:fldChar w:fldCharType="begin"/>
      </w:r>
      <w:r w:rsidRPr="000413E2">
        <w:rPr>
          <w:rFonts w:eastAsia="Times New Roman"/>
        </w:rPr>
        <w:instrText xml:space="preserve"> REF P62 \h  \* MERGEFORMAT </w:instrText>
      </w:r>
      <w:r w:rsidRPr="000413E2">
        <w:rPr>
          <w:rFonts w:eastAsia="Times New Roman"/>
        </w:rPr>
      </w:r>
      <w:r w:rsidRPr="000413E2">
        <w:rPr>
          <w:rFonts w:eastAsia="Times New Roman"/>
        </w:rPr>
        <w:fldChar w:fldCharType="separate"/>
      </w:r>
      <w:r w:rsidR="000413E2" w:rsidRPr="000413E2">
        <w:t>61</w:t>
      </w:r>
      <w:r w:rsidRPr="000413E2">
        <w:rPr>
          <w:rFonts w:eastAsia="Times New Roman"/>
        </w:rPr>
        <w:fldChar w:fldCharType="end"/>
      </w:r>
      <w:r w:rsidRPr="000413E2">
        <w:rPr>
          <w:rFonts w:eastAsia="Times New Roman"/>
        </w:rPr>
        <w:t xml:space="preserve"> ci-dessus). En particulier, elle note que le requérant n</w:t>
      </w:r>
      <w:r w:rsidR="000413E2" w:rsidRPr="000413E2">
        <w:rPr>
          <w:rFonts w:eastAsia="Times New Roman"/>
        </w:rPr>
        <w:t>’</w:t>
      </w:r>
      <w:r w:rsidRPr="000413E2">
        <w:rPr>
          <w:rFonts w:eastAsia="Times New Roman"/>
        </w:rPr>
        <w:t>a cessé de tenter d</w:t>
      </w:r>
      <w:r w:rsidR="000413E2" w:rsidRPr="000413E2">
        <w:rPr>
          <w:rFonts w:eastAsia="Times New Roman"/>
        </w:rPr>
        <w:t>’</w:t>
      </w:r>
      <w:r w:rsidRPr="000413E2">
        <w:rPr>
          <w:rFonts w:eastAsia="Times New Roman"/>
        </w:rPr>
        <w:t>établir des contacts avec son fils depuis 2010 et, malgré des différentes décisions du tribunal pour enfants et du juge des tutelles, les autorités n</w:t>
      </w:r>
      <w:r w:rsidR="000413E2" w:rsidRPr="000413E2">
        <w:rPr>
          <w:rFonts w:eastAsia="Times New Roman"/>
        </w:rPr>
        <w:t>’</w:t>
      </w:r>
      <w:r w:rsidRPr="000413E2">
        <w:rPr>
          <w:rFonts w:eastAsia="Times New Roman"/>
        </w:rPr>
        <w:t>ont pas trouvé de solution pour lui permettre d</w:t>
      </w:r>
      <w:r w:rsidR="000413E2" w:rsidRPr="000413E2">
        <w:rPr>
          <w:rFonts w:eastAsia="Times New Roman"/>
        </w:rPr>
        <w:t>’</w:t>
      </w:r>
      <w:r w:rsidRPr="000413E2">
        <w:rPr>
          <w:rFonts w:eastAsia="Times New Roman"/>
        </w:rPr>
        <w:t>exercer régulièrement son droit de visite. Le requérant n</w:t>
      </w:r>
      <w:r w:rsidR="000413E2" w:rsidRPr="000413E2">
        <w:rPr>
          <w:rFonts w:eastAsia="Times New Roman"/>
        </w:rPr>
        <w:t>’</w:t>
      </w:r>
      <w:r w:rsidRPr="000413E2">
        <w:rPr>
          <w:rFonts w:eastAsia="Times New Roman"/>
        </w:rPr>
        <w:t>a pu exercer son droit de visite que de manière très limitée jusqu</w:t>
      </w:r>
      <w:r w:rsidR="000413E2" w:rsidRPr="000413E2">
        <w:rPr>
          <w:rFonts w:eastAsia="Times New Roman"/>
        </w:rPr>
        <w:t>’</w:t>
      </w:r>
      <w:r w:rsidRPr="000413E2">
        <w:rPr>
          <w:rFonts w:eastAsia="Times New Roman"/>
        </w:rPr>
        <w:t>en 2015. Le demande d</w:t>
      </w:r>
      <w:r w:rsidR="000413E2" w:rsidRPr="000413E2">
        <w:rPr>
          <w:rFonts w:eastAsia="Times New Roman"/>
        </w:rPr>
        <w:t>’</w:t>
      </w:r>
      <w:r w:rsidRPr="000413E2">
        <w:rPr>
          <w:rFonts w:eastAsia="Times New Roman"/>
        </w:rPr>
        <w:t>expertise de l</w:t>
      </w:r>
      <w:r w:rsidR="000413E2" w:rsidRPr="000413E2">
        <w:rPr>
          <w:rFonts w:eastAsia="Times New Roman"/>
        </w:rPr>
        <w:t>’</w:t>
      </w:r>
      <w:r w:rsidRPr="000413E2">
        <w:rPr>
          <w:rFonts w:eastAsia="Times New Roman"/>
        </w:rPr>
        <w:t>enfant et des parents formulée dès 2012 n</w:t>
      </w:r>
      <w:r w:rsidR="000413E2" w:rsidRPr="000413E2">
        <w:rPr>
          <w:rFonts w:eastAsia="Times New Roman"/>
        </w:rPr>
        <w:t>’</w:t>
      </w:r>
      <w:r w:rsidRPr="000413E2">
        <w:rPr>
          <w:rFonts w:eastAsia="Times New Roman"/>
        </w:rPr>
        <w:t>a été accueillie qu</w:t>
      </w:r>
      <w:r w:rsidR="000413E2" w:rsidRPr="000413E2">
        <w:rPr>
          <w:rFonts w:eastAsia="Times New Roman"/>
        </w:rPr>
        <w:t>’</w:t>
      </w:r>
      <w:r w:rsidRPr="000413E2">
        <w:rPr>
          <w:rFonts w:eastAsia="Times New Roman"/>
        </w:rPr>
        <w:t>en 2015 et le rapport d</w:t>
      </w:r>
      <w:r w:rsidR="000413E2" w:rsidRPr="000413E2">
        <w:rPr>
          <w:rFonts w:eastAsia="Times New Roman"/>
        </w:rPr>
        <w:t>’</w:t>
      </w:r>
      <w:r w:rsidRPr="000413E2">
        <w:rPr>
          <w:rFonts w:eastAsia="Times New Roman"/>
        </w:rPr>
        <w:t>expertise a été déposé en retard, à l</w:t>
      </w:r>
      <w:r w:rsidR="000413E2" w:rsidRPr="000413E2">
        <w:rPr>
          <w:rFonts w:eastAsia="Times New Roman"/>
        </w:rPr>
        <w:t>’</w:t>
      </w:r>
      <w:r w:rsidRPr="000413E2">
        <w:rPr>
          <w:rFonts w:eastAsia="Times New Roman"/>
        </w:rPr>
        <w:t>automne 2016.</w:t>
      </w:r>
    </w:p>
    <w:p w:rsidR="00025024" w:rsidRPr="000413E2" w:rsidRDefault="00025024" w:rsidP="000413E2">
      <w:pPr>
        <w:pStyle w:val="JuPara"/>
        <w:rPr>
          <w:rFonts w:eastAsia="Times New Roman"/>
        </w:rPr>
      </w:pPr>
      <w:r w:rsidRPr="000413E2">
        <w:rPr>
          <w:rFonts w:eastAsia="Times New Roman"/>
        </w:rPr>
        <w:fldChar w:fldCharType="begin"/>
      </w:r>
      <w:r w:rsidRPr="000413E2">
        <w:rPr>
          <w:rFonts w:eastAsia="Times New Roman"/>
        </w:rPr>
        <w:instrText xml:space="preserve"> SEQ level0 \*arabic </w:instrText>
      </w:r>
      <w:r w:rsidRPr="000413E2">
        <w:rPr>
          <w:rFonts w:eastAsia="Times New Roman"/>
        </w:rPr>
        <w:fldChar w:fldCharType="separate"/>
      </w:r>
      <w:r w:rsidR="000413E2" w:rsidRPr="000413E2">
        <w:rPr>
          <w:rFonts w:eastAsia="Times New Roman"/>
          <w:noProof/>
        </w:rPr>
        <w:t>63</w:t>
      </w:r>
      <w:r w:rsidRPr="000413E2">
        <w:rPr>
          <w:rFonts w:eastAsia="Times New Roman"/>
        </w:rPr>
        <w:fldChar w:fldCharType="end"/>
      </w:r>
      <w:r w:rsidRPr="000413E2">
        <w:rPr>
          <w:rFonts w:eastAsia="Times New Roman"/>
        </w:rPr>
        <w:t>.  Certes, la Cour reconnaît que les autorités étaient confrontées en l</w:t>
      </w:r>
      <w:r w:rsidR="000413E2" w:rsidRPr="000413E2">
        <w:rPr>
          <w:rFonts w:eastAsia="Times New Roman"/>
        </w:rPr>
        <w:t>’</w:t>
      </w:r>
      <w:r w:rsidRPr="000413E2">
        <w:rPr>
          <w:rFonts w:eastAsia="Times New Roman"/>
        </w:rPr>
        <w:t>espèce à une situation très difficile qui découlait notamment des tensions existant entre les parents de l</w:t>
      </w:r>
      <w:r w:rsidR="000413E2" w:rsidRPr="000413E2">
        <w:rPr>
          <w:rFonts w:eastAsia="Times New Roman"/>
        </w:rPr>
        <w:t>’</w:t>
      </w:r>
      <w:r w:rsidRPr="000413E2">
        <w:rPr>
          <w:rFonts w:eastAsia="Times New Roman"/>
        </w:rPr>
        <w:t>enfant. Elle admet que la non-réalisation du droit de visite du requérant était au départ surtout imputable au refus manifeste de la mère de l</w:t>
      </w:r>
      <w:r w:rsidR="000413E2" w:rsidRPr="000413E2">
        <w:rPr>
          <w:rFonts w:eastAsia="Times New Roman"/>
        </w:rPr>
        <w:t>’</w:t>
      </w:r>
      <w:r w:rsidRPr="000413E2">
        <w:rPr>
          <w:rFonts w:eastAsia="Times New Roman"/>
        </w:rPr>
        <w:t>enfant, puis au refus de l</w:t>
      </w:r>
      <w:r w:rsidR="000413E2" w:rsidRPr="000413E2">
        <w:rPr>
          <w:rFonts w:eastAsia="Times New Roman"/>
        </w:rPr>
        <w:t>’</w:t>
      </w:r>
      <w:r w:rsidRPr="000413E2">
        <w:rPr>
          <w:rFonts w:eastAsia="Times New Roman"/>
        </w:rPr>
        <w:t>enfant et au manque d</w:t>
      </w:r>
      <w:r w:rsidR="000413E2" w:rsidRPr="000413E2">
        <w:rPr>
          <w:rFonts w:eastAsia="Times New Roman"/>
        </w:rPr>
        <w:t>’</w:t>
      </w:r>
      <w:r w:rsidRPr="000413E2">
        <w:rPr>
          <w:rFonts w:eastAsia="Times New Roman"/>
        </w:rPr>
        <w:t>engagement du requérant dans la relation avec son fils. Elle rappelle cependant qu</w:t>
      </w:r>
      <w:r w:rsidR="000413E2" w:rsidRPr="000413E2">
        <w:rPr>
          <w:rFonts w:eastAsia="Times New Roman"/>
        </w:rPr>
        <w:t>’</w:t>
      </w:r>
      <w:r w:rsidRPr="000413E2">
        <w:rPr>
          <w:rFonts w:eastAsia="Times New Roman"/>
        </w:rPr>
        <w:t>un manque de coopération entre les parents séparés ne peut dispenser les autorités compétentes de mettre en œuvre tous les moyens susceptibles de permettre le maintien du lien familial (</w:t>
      </w:r>
      <w:r w:rsidRPr="000413E2">
        <w:rPr>
          <w:rFonts w:eastAsia="Times New Roman"/>
          <w:i/>
        </w:rPr>
        <w:t>Nicolò Santilli</w:t>
      </w:r>
      <w:r w:rsidRPr="000413E2">
        <w:rPr>
          <w:rFonts w:eastAsia="Times New Roman"/>
        </w:rPr>
        <w:t>,</w:t>
      </w:r>
      <w:r w:rsidRPr="000413E2">
        <w:rPr>
          <w:rFonts w:eastAsia="Times New Roman"/>
          <w:i/>
        </w:rPr>
        <w:t xml:space="preserve"> </w:t>
      </w:r>
      <w:r w:rsidRPr="000413E2">
        <w:rPr>
          <w:rFonts w:eastAsia="Times New Roman"/>
        </w:rPr>
        <w:t xml:space="preserve">précité, § 74, </w:t>
      </w:r>
      <w:r w:rsidRPr="000413E2">
        <w:rPr>
          <w:rFonts w:eastAsia="Times New Roman"/>
          <w:i/>
        </w:rPr>
        <w:t>Lombardo</w:t>
      </w:r>
      <w:r w:rsidRPr="000413E2">
        <w:rPr>
          <w:rFonts w:eastAsia="Times New Roman"/>
        </w:rPr>
        <w:t xml:space="preserve">, précité, § 91, et </w:t>
      </w:r>
      <w:r w:rsidRPr="000413E2">
        <w:rPr>
          <w:rFonts w:eastAsia="Times New Roman"/>
          <w:i/>
        </w:rPr>
        <w:t>Zavřel</w:t>
      </w:r>
      <w:r w:rsidRPr="000413E2">
        <w:rPr>
          <w:rFonts w:eastAsia="Times New Roman"/>
        </w:rPr>
        <w:t>,</w:t>
      </w:r>
      <w:r w:rsidRPr="000413E2">
        <w:rPr>
          <w:rFonts w:eastAsia="Times New Roman"/>
          <w:i/>
        </w:rPr>
        <w:t xml:space="preserve"> </w:t>
      </w:r>
      <w:r w:rsidRPr="000413E2">
        <w:rPr>
          <w:rFonts w:eastAsia="Times New Roman"/>
        </w:rPr>
        <w:t>précité, § 52).</w:t>
      </w:r>
    </w:p>
    <w:p w:rsidR="00025024" w:rsidRPr="000413E2" w:rsidRDefault="00025024" w:rsidP="000413E2">
      <w:pPr>
        <w:pStyle w:val="JuPara"/>
        <w:rPr>
          <w:rFonts w:eastAsia="Times New Roman"/>
        </w:rPr>
      </w:pPr>
      <w:r w:rsidRPr="000413E2">
        <w:rPr>
          <w:rFonts w:eastAsia="Times New Roman"/>
        </w:rPr>
        <w:fldChar w:fldCharType="begin"/>
      </w:r>
      <w:r w:rsidRPr="000413E2">
        <w:rPr>
          <w:rFonts w:eastAsia="Times New Roman"/>
        </w:rPr>
        <w:instrText xml:space="preserve"> SEQ level0 \*arabic </w:instrText>
      </w:r>
      <w:r w:rsidRPr="000413E2">
        <w:rPr>
          <w:rFonts w:eastAsia="Times New Roman"/>
        </w:rPr>
        <w:fldChar w:fldCharType="separate"/>
      </w:r>
      <w:r w:rsidR="000413E2" w:rsidRPr="000413E2">
        <w:rPr>
          <w:rFonts w:eastAsia="Times New Roman"/>
          <w:noProof/>
        </w:rPr>
        <w:t>64</w:t>
      </w:r>
      <w:r w:rsidRPr="000413E2">
        <w:rPr>
          <w:rFonts w:eastAsia="Times New Roman"/>
        </w:rPr>
        <w:fldChar w:fldCharType="end"/>
      </w:r>
      <w:r w:rsidRPr="000413E2">
        <w:rPr>
          <w:rFonts w:eastAsia="Times New Roman"/>
        </w:rPr>
        <w:t>.  En effet, les autorités n</w:t>
      </w:r>
      <w:r w:rsidR="000413E2" w:rsidRPr="000413E2">
        <w:rPr>
          <w:rFonts w:eastAsia="Times New Roman"/>
        </w:rPr>
        <w:t>’</w:t>
      </w:r>
      <w:r w:rsidRPr="000413E2">
        <w:rPr>
          <w:rFonts w:eastAsia="Times New Roman"/>
        </w:rPr>
        <w:t>ont pas fait preuve de la diligence qui s</w:t>
      </w:r>
      <w:r w:rsidR="000413E2" w:rsidRPr="000413E2">
        <w:rPr>
          <w:rFonts w:eastAsia="Times New Roman"/>
        </w:rPr>
        <w:t>’</w:t>
      </w:r>
      <w:r w:rsidRPr="000413E2">
        <w:rPr>
          <w:rFonts w:eastAsia="Times New Roman"/>
        </w:rPr>
        <w:t>imposait en l</w:t>
      </w:r>
      <w:r w:rsidR="000413E2" w:rsidRPr="000413E2">
        <w:rPr>
          <w:rFonts w:eastAsia="Times New Roman"/>
        </w:rPr>
        <w:t>’</w:t>
      </w:r>
      <w:r w:rsidRPr="000413E2">
        <w:rPr>
          <w:rFonts w:eastAsia="Times New Roman"/>
        </w:rPr>
        <w:t>espèce et sont restées en deçà de ce qu</w:t>
      </w:r>
      <w:r w:rsidR="000413E2" w:rsidRPr="000413E2">
        <w:rPr>
          <w:rFonts w:eastAsia="Times New Roman"/>
        </w:rPr>
        <w:t>’</w:t>
      </w:r>
      <w:r w:rsidRPr="000413E2">
        <w:rPr>
          <w:rFonts w:eastAsia="Times New Roman"/>
        </w:rPr>
        <w:t>on pouvait raisonnablement attendre d</w:t>
      </w:r>
      <w:r w:rsidR="000413E2" w:rsidRPr="000413E2">
        <w:rPr>
          <w:rFonts w:eastAsia="Times New Roman"/>
        </w:rPr>
        <w:t>’</w:t>
      </w:r>
      <w:r w:rsidRPr="000413E2">
        <w:rPr>
          <w:rFonts w:eastAsia="Times New Roman"/>
        </w:rPr>
        <w:t>elles. La Cour estime en particulier que les juridictions internes n</w:t>
      </w:r>
      <w:r w:rsidR="000413E2" w:rsidRPr="000413E2">
        <w:rPr>
          <w:rFonts w:eastAsia="Times New Roman"/>
        </w:rPr>
        <w:t>’</w:t>
      </w:r>
      <w:r w:rsidRPr="000413E2">
        <w:rPr>
          <w:rFonts w:eastAsia="Times New Roman"/>
        </w:rPr>
        <w:t>ont pas pris les mesures appropriées pour créer les conditions nécessaires à la pleine réalisation du droit de visite du père de l</w:t>
      </w:r>
      <w:r w:rsidR="000413E2" w:rsidRPr="000413E2">
        <w:rPr>
          <w:rFonts w:eastAsia="Times New Roman"/>
        </w:rPr>
        <w:t>’</w:t>
      </w:r>
      <w:r w:rsidRPr="000413E2">
        <w:rPr>
          <w:rFonts w:eastAsia="Times New Roman"/>
        </w:rPr>
        <w:t>enfant (</w:t>
      </w:r>
      <w:r w:rsidRPr="000413E2">
        <w:rPr>
          <w:rFonts w:eastAsia="Times New Roman"/>
          <w:i/>
        </w:rPr>
        <w:t>Bondavalli</w:t>
      </w:r>
      <w:r w:rsidRPr="000413E2">
        <w:rPr>
          <w:rFonts w:eastAsia="Times New Roman"/>
        </w:rPr>
        <w:t xml:space="preserve">, précité, § 81, </w:t>
      </w:r>
      <w:r w:rsidRPr="000413E2">
        <w:rPr>
          <w:rFonts w:eastAsia="Times New Roman"/>
          <w:i/>
        </w:rPr>
        <w:t>Macready c. République tchèque</w:t>
      </w:r>
      <w:r w:rsidRPr="000413E2">
        <w:rPr>
          <w:rFonts w:eastAsia="Times New Roman"/>
        </w:rPr>
        <w:t>, n</w:t>
      </w:r>
      <w:r w:rsidRPr="000413E2">
        <w:rPr>
          <w:rFonts w:eastAsia="Times New Roman"/>
          <w:vertAlign w:val="superscript"/>
        </w:rPr>
        <w:t>os</w:t>
      </w:r>
      <w:r w:rsidRPr="000413E2">
        <w:rPr>
          <w:rFonts w:eastAsia="Times New Roman"/>
        </w:rPr>
        <w:t> </w:t>
      </w:r>
      <w:hyperlink r:id="rId28" w:anchor="{&quot;appno&quot;:[&quot;4824/06&quot;]}" w:tgtFrame="_blank" w:history="1">
        <w:r w:rsidRPr="000413E2">
          <w:rPr>
            <w:rFonts w:eastAsia="Times New Roman"/>
          </w:rPr>
          <w:t>4824/06</w:t>
        </w:r>
      </w:hyperlink>
      <w:r w:rsidRPr="000413E2">
        <w:rPr>
          <w:rFonts w:eastAsia="Times New Roman"/>
        </w:rPr>
        <w:t xml:space="preserve"> et </w:t>
      </w:r>
      <w:hyperlink r:id="rId29" w:anchor="{&quot;appno&quot;:[&quot;15512/08&quot;]}" w:tgtFrame="_blank" w:history="1">
        <w:r w:rsidRPr="000413E2">
          <w:rPr>
            <w:rFonts w:eastAsia="Times New Roman"/>
          </w:rPr>
          <w:t>15512/08</w:t>
        </w:r>
      </w:hyperlink>
      <w:r w:rsidRPr="000413E2">
        <w:rPr>
          <w:rFonts w:eastAsia="Times New Roman"/>
        </w:rPr>
        <w:t xml:space="preserve">, § 66, 22 avril 2010, </w:t>
      </w:r>
      <w:r w:rsidRPr="000413E2">
        <w:rPr>
          <w:rFonts w:eastAsia="Times New Roman"/>
          <w:i/>
        </w:rPr>
        <w:t>Piazzi</w:t>
      </w:r>
      <w:r w:rsidRPr="000413E2">
        <w:rPr>
          <w:rFonts w:eastAsia="Times New Roman"/>
        </w:rPr>
        <w:t xml:space="preserve">, précité, § 61, et </w:t>
      </w:r>
      <w:r w:rsidRPr="000413E2">
        <w:rPr>
          <w:rFonts w:eastAsia="Times New Roman"/>
          <w:i/>
        </w:rPr>
        <w:t>Strumia</w:t>
      </w:r>
      <w:r w:rsidRPr="000413E2">
        <w:rPr>
          <w:rFonts w:eastAsia="Times New Roman"/>
        </w:rPr>
        <w:t>, précité). Elle constate en particulier que, après la transmission du dossier de la part du juge des tutelles au parquet en 2014, la décision de placer l</w:t>
      </w:r>
      <w:r w:rsidR="000413E2" w:rsidRPr="000413E2">
        <w:rPr>
          <w:rFonts w:eastAsia="Times New Roman"/>
        </w:rPr>
        <w:t>’</w:t>
      </w:r>
      <w:r w:rsidRPr="000413E2">
        <w:rPr>
          <w:rFonts w:eastAsia="Times New Roman"/>
        </w:rPr>
        <w:t>enfant a été prise seulement deux ans après, alors que le requérant ne pouvait pas voir l</w:t>
      </w:r>
      <w:r w:rsidR="000413E2" w:rsidRPr="000413E2">
        <w:rPr>
          <w:rFonts w:eastAsia="Times New Roman"/>
        </w:rPr>
        <w:t>’</w:t>
      </w:r>
      <w:r w:rsidRPr="000413E2">
        <w:rPr>
          <w:rFonts w:eastAsia="Times New Roman"/>
        </w:rPr>
        <w:t>enfant et que ce dernier, comme l</w:t>
      </w:r>
      <w:r w:rsidR="000413E2" w:rsidRPr="000413E2">
        <w:rPr>
          <w:rFonts w:eastAsia="Times New Roman"/>
        </w:rPr>
        <w:t>’</w:t>
      </w:r>
      <w:r w:rsidRPr="000413E2">
        <w:rPr>
          <w:rFonts w:eastAsia="Times New Roman"/>
        </w:rPr>
        <w:t>a souligné l</w:t>
      </w:r>
      <w:r w:rsidR="000413E2" w:rsidRPr="000413E2">
        <w:rPr>
          <w:rFonts w:eastAsia="Times New Roman"/>
        </w:rPr>
        <w:t>’</w:t>
      </w:r>
      <w:r w:rsidRPr="000413E2">
        <w:rPr>
          <w:rFonts w:eastAsia="Times New Roman"/>
        </w:rPr>
        <w:t xml:space="preserve">expertise, se trouvait dans </w:t>
      </w:r>
      <w:r w:rsidRPr="000413E2">
        <w:t>un environnement familial préjudiciable.</w:t>
      </w:r>
    </w:p>
    <w:p w:rsidR="00025024" w:rsidRPr="000413E2" w:rsidRDefault="00025024" w:rsidP="000413E2">
      <w:pPr>
        <w:pStyle w:val="JuPara"/>
        <w:rPr>
          <w:rFonts w:eastAsia="Times New Roman"/>
        </w:rPr>
      </w:pPr>
      <w:r w:rsidRPr="000413E2">
        <w:rPr>
          <w:rFonts w:eastAsia="Times New Roman"/>
        </w:rPr>
        <w:lastRenderedPageBreak/>
        <w:fldChar w:fldCharType="begin"/>
      </w:r>
      <w:r w:rsidRPr="000413E2">
        <w:rPr>
          <w:rFonts w:eastAsia="Times New Roman"/>
        </w:rPr>
        <w:instrText xml:space="preserve"> SEQ level0 \*arabic </w:instrText>
      </w:r>
      <w:r w:rsidRPr="000413E2">
        <w:rPr>
          <w:rFonts w:eastAsia="Times New Roman"/>
        </w:rPr>
        <w:fldChar w:fldCharType="separate"/>
      </w:r>
      <w:r w:rsidR="000413E2" w:rsidRPr="000413E2">
        <w:rPr>
          <w:rFonts w:eastAsia="Times New Roman"/>
          <w:noProof/>
        </w:rPr>
        <w:t>65</w:t>
      </w:r>
      <w:r w:rsidRPr="000413E2">
        <w:rPr>
          <w:rFonts w:eastAsia="Times New Roman"/>
        </w:rPr>
        <w:fldChar w:fldCharType="end"/>
      </w:r>
      <w:r w:rsidRPr="000413E2">
        <w:rPr>
          <w:rFonts w:eastAsia="Times New Roman"/>
        </w:rPr>
        <w:t>.  La Cour note que les juridictions internes n</w:t>
      </w:r>
      <w:r w:rsidR="000413E2" w:rsidRPr="000413E2">
        <w:rPr>
          <w:rFonts w:eastAsia="Times New Roman"/>
        </w:rPr>
        <w:t>’</w:t>
      </w:r>
      <w:r w:rsidRPr="000413E2">
        <w:rPr>
          <w:rFonts w:eastAsia="Times New Roman"/>
        </w:rPr>
        <w:t>ont pas pris rapidement des mesures concrètes et utiles visant à l</w:t>
      </w:r>
      <w:r w:rsidR="000413E2" w:rsidRPr="000413E2">
        <w:rPr>
          <w:rFonts w:eastAsia="Times New Roman"/>
        </w:rPr>
        <w:t>’</w:t>
      </w:r>
      <w:r w:rsidRPr="000413E2">
        <w:rPr>
          <w:rFonts w:eastAsia="Times New Roman"/>
        </w:rPr>
        <w:t>instauration de contacts effectifs entre le requérant et l</w:t>
      </w:r>
      <w:r w:rsidR="000413E2" w:rsidRPr="000413E2">
        <w:rPr>
          <w:rFonts w:eastAsia="Times New Roman"/>
        </w:rPr>
        <w:t>’</w:t>
      </w:r>
      <w:r w:rsidRPr="000413E2">
        <w:rPr>
          <w:rFonts w:eastAsia="Times New Roman"/>
        </w:rPr>
        <w:t>enfant et qu</w:t>
      </w:r>
      <w:r w:rsidR="000413E2" w:rsidRPr="000413E2">
        <w:rPr>
          <w:rFonts w:eastAsia="Times New Roman"/>
        </w:rPr>
        <w:t>’</w:t>
      </w:r>
      <w:r w:rsidRPr="000413E2">
        <w:rPr>
          <w:rFonts w:eastAsia="Times New Roman"/>
        </w:rPr>
        <w:t>elles ont ensuite « toléré », pendant un certain temps, que l</w:t>
      </w:r>
      <w:r w:rsidR="000413E2" w:rsidRPr="000413E2">
        <w:rPr>
          <w:rFonts w:eastAsia="Times New Roman"/>
        </w:rPr>
        <w:t>’</w:t>
      </w:r>
      <w:r w:rsidRPr="000413E2">
        <w:rPr>
          <w:rFonts w:eastAsia="Times New Roman"/>
        </w:rPr>
        <w:t>intéressé ne puisse pas voir son fils librement. Elle constate en particulier que, nonobstant la transmission du dossier au procureur pour enfants signalant la situation critique de l</w:t>
      </w:r>
      <w:r w:rsidR="000413E2" w:rsidRPr="000413E2">
        <w:rPr>
          <w:rFonts w:eastAsia="Times New Roman"/>
        </w:rPr>
        <w:t>’</w:t>
      </w:r>
      <w:r w:rsidRPr="000413E2">
        <w:rPr>
          <w:rFonts w:eastAsia="Times New Roman"/>
        </w:rPr>
        <w:t>enfant en 2014, aucune mesure n</w:t>
      </w:r>
      <w:r w:rsidR="000413E2" w:rsidRPr="000413E2">
        <w:rPr>
          <w:rFonts w:eastAsia="Times New Roman"/>
        </w:rPr>
        <w:t>’</w:t>
      </w:r>
      <w:r w:rsidRPr="000413E2">
        <w:rPr>
          <w:rFonts w:eastAsia="Times New Roman"/>
        </w:rPr>
        <w:t>a été prise avant novembre 2016.</w:t>
      </w:r>
    </w:p>
    <w:p w:rsidR="00025024" w:rsidRPr="000413E2" w:rsidRDefault="00025024" w:rsidP="000413E2">
      <w:pPr>
        <w:pStyle w:val="JuPara"/>
        <w:rPr>
          <w:rFonts w:eastAsia="Times New Roman"/>
        </w:rPr>
      </w:pPr>
      <w:r w:rsidRPr="000413E2">
        <w:rPr>
          <w:rFonts w:eastAsia="Times New Roman"/>
        </w:rPr>
        <w:fldChar w:fldCharType="begin"/>
      </w:r>
      <w:r w:rsidRPr="000413E2">
        <w:rPr>
          <w:rFonts w:eastAsia="Times New Roman"/>
        </w:rPr>
        <w:instrText xml:space="preserve"> SEQ level0 \*arabic </w:instrText>
      </w:r>
      <w:r w:rsidRPr="000413E2">
        <w:rPr>
          <w:rFonts w:eastAsia="Times New Roman"/>
        </w:rPr>
        <w:fldChar w:fldCharType="separate"/>
      </w:r>
      <w:r w:rsidR="000413E2" w:rsidRPr="000413E2">
        <w:rPr>
          <w:rFonts w:eastAsia="Times New Roman"/>
          <w:noProof/>
        </w:rPr>
        <w:t>66</w:t>
      </w:r>
      <w:r w:rsidRPr="000413E2">
        <w:rPr>
          <w:rFonts w:eastAsia="Times New Roman"/>
        </w:rPr>
        <w:fldChar w:fldCharType="end"/>
      </w:r>
      <w:r w:rsidRPr="000413E2">
        <w:rPr>
          <w:rFonts w:eastAsia="Times New Roman"/>
        </w:rPr>
        <w:t>.  Or, bien que l</w:t>
      </w:r>
      <w:r w:rsidR="000413E2" w:rsidRPr="000413E2">
        <w:rPr>
          <w:rFonts w:eastAsia="Times New Roman"/>
        </w:rPr>
        <w:t>’</w:t>
      </w:r>
      <w:r w:rsidRPr="000413E2">
        <w:rPr>
          <w:rFonts w:eastAsia="Times New Roman"/>
        </w:rPr>
        <w:t>arsenal juridique prévu par le droit italien semble suffisant, selon la Cour, pour permettre à l</w:t>
      </w:r>
      <w:r w:rsidR="000413E2" w:rsidRPr="000413E2">
        <w:rPr>
          <w:rFonts w:eastAsia="Times New Roman"/>
        </w:rPr>
        <w:t>’</w:t>
      </w:r>
      <w:r w:rsidRPr="000413E2">
        <w:rPr>
          <w:rFonts w:eastAsia="Times New Roman"/>
        </w:rPr>
        <w:t>État défendeur d</w:t>
      </w:r>
      <w:r w:rsidR="000413E2" w:rsidRPr="000413E2">
        <w:rPr>
          <w:rFonts w:eastAsia="Times New Roman"/>
        </w:rPr>
        <w:t>’</w:t>
      </w:r>
      <w:r w:rsidRPr="000413E2">
        <w:rPr>
          <w:rFonts w:eastAsia="Times New Roman"/>
        </w:rPr>
        <w:t>assurer le respect des obligations positives qui découlent pour lui de l</w:t>
      </w:r>
      <w:r w:rsidR="000413E2" w:rsidRPr="000413E2">
        <w:rPr>
          <w:rFonts w:eastAsia="Times New Roman"/>
        </w:rPr>
        <w:t>’</w:t>
      </w:r>
      <w:r w:rsidRPr="000413E2">
        <w:rPr>
          <w:rFonts w:eastAsia="Times New Roman"/>
        </w:rPr>
        <w:t>article 8 de la Convention, force est de constater que les autorités ont laissé se consolider, pendant un certain temps, une situation de fait installée au mépris des décisions judiciaires.</w:t>
      </w:r>
    </w:p>
    <w:p w:rsidR="00025024" w:rsidRPr="000413E2" w:rsidRDefault="00025024" w:rsidP="000413E2">
      <w:pPr>
        <w:pStyle w:val="JuPara"/>
        <w:rPr>
          <w:rFonts w:eastAsia="Times New Roman"/>
        </w:rPr>
      </w:pPr>
      <w:r w:rsidRPr="000413E2">
        <w:rPr>
          <w:rFonts w:eastAsia="Times New Roman"/>
        </w:rPr>
        <w:fldChar w:fldCharType="begin"/>
      </w:r>
      <w:r w:rsidRPr="000413E2">
        <w:rPr>
          <w:rFonts w:eastAsia="Times New Roman"/>
        </w:rPr>
        <w:instrText xml:space="preserve"> SEQ level0 \*arabic </w:instrText>
      </w:r>
      <w:r w:rsidRPr="000413E2">
        <w:rPr>
          <w:rFonts w:eastAsia="Times New Roman"/>
        </w:rPr>
        <w:fldChar w:fldCharType="separate"/>
      </w:r>
      <w:r w:rsidR="000413E2" w:rsidRPr="000413E2">
        <w:rPr>
          <w:rFonts w:eastAsia="Times New Roman"/>
          <w:noProof/>
        </w:rPr>
        <w:t>67</w:t>
      </w:r>
      <w:r w:rsidRPr="000413E2">
        <w:rPr>
          <w:rFonts w:eastAsia="Times New Roman"/>
        </w:rPr>
        <w:fldChar w:fldCharType="end"/>
      </w:r>
      <w:r w:rsidRPr="000413E2">
        <w:rPr>
          <w:rFonts w:eastAsia="Times New Roman"/>
        </w:rPr>
        <w:t>.  La Cour note que, dans le cas d</w:t>
      </w:r>
      <w:r w:rsidR="000413E2" w:rsidRPr="000413E2">
        <w:rPr>
          <w:rFonts w:eastAsia="Times New Roman"/>
        </w:rPr>
        <w:t>’</w:t>
      </w:r>
      <w:r w:rsidRPr="000413E2">
        <w:rPr>
          <w:rFonts w:eastAsia="Times New Roman"/>
        </w:rPr>
        <w:t>espèce, face à l</w:t>
      </w:r>
      <w:r w:rsidR="000413E2" w:rsidRPr="000413E2">
        <w:rPr>
          <w:rFonts w:eastAsia="Times New Roman"/>
        </w:rPr>
        <w:t>’</w:t>
      </w:r>
      <w:r w:rsidRPr="000413E2">
        <w:rPr>
          <w:rFonts w:eastAsia="Times New Roman"/>
        </w:rPr>
        <w:t>opposition de la mère de l</w:t>
      </w:r>
      <w:r w:rsidR="000413E2" w:rsidRPr="000413E2">
        <w:rPr>
          <w:rFonts w:eastAsia="Times New Roman"/>
        </w:rPr>
        <w:t>’</w:t>
      </w:r>
      <w:r w:rsidRPr="000413E2">
        <w:rPr>
          <w:rFonts w:eastAsia="Times New Roman"/>
        </w:rPr>
        <w:t>enfant qui perdurait depuis 2010 et à la difficulté de requérant à exercer le droit de visite, les autorités nationales n</w:t>
      </w:r>
      <w:r w:rsidR="000413E2" w:rsidRPr="000413E2">
        <w:rPr>
          <w:rFonts w:eastAsia="Times New Roman"/>
        </w:rPr>
        <w:t>’</w:t>
      </w:r>
      <w:r w:rsidRPr="000413E2">
        <w:rPr>
          <w:rFonts w:eastAsia="Times New Roman"/>
        </w:rPr>
        <w:t>ont pas pris rapidement toutes les mesures nécessaires et qui pouvaient raisonnablement être exigées pour faire respecter le droit du requérant d</w:t>
      </w:r>
      <w:r w:rsidR="000413E2" w:rsidRPr="000413E2">
        <w:rPr>
          <w:rFonts w:eastAsia="Times New Roman"/>
        </w:rPr>
        <w:t>’</w:t>
      </w:r>
      <w:r w:rsidRPr="000413E2">
        <w:rPr>
          <w:rFonts w:eastAsia="Times New Roman"/>
        </w:rPr>
        <w:t>avoir des contacts avec son fils et d</w:t>
      </w:r>
      <w:r w:rsidR="000413E2" w:rsidRPr="000413E2">
        <w:rPr>
          <w:rFonts w:eastAsia="Times New Roman"/>
        </w:rPr>
        <w:t>’</w:t>
      </w:r>
      <w:r w:rsidRPr="000413E2">
        <w:rPr>
          <w:rFonts w:eastAsia="Times New Roman"/>
        </w:rPr>
        <w:t>établir une relation (</w:t>
      </w:r>
      <w:r w:rsidRPr="000413E2">
        <w:rPr>
          <w:rFonts w:eastAsia="Times New Roman"/>
          <w:i/>
        </w:rPr>
        <w:t>Strumia</w:t>
      </w:r>
      <w:r w:rsidRPr="000413E2">
        <w:rPr>
          <w:rFonts w:eastAsia="Times New Roman"/>
        </w:rPr>
        <w:t>, précité, § 123).</w:t>
      </w:r>
    </w:p>
    <w:p w:rsidR="00025024" w:rsidRPr="000413E2" w:rsidRDefault="00025024" w:rsidP="000413E2">
      <w:pPr>
        <w:pStyle w:val="JuPara"/>
        <w:rPr>
          <w:rFonts w:eastAsia="Times New Roman"/>
        </w:rPr>
      </w:pPr>
      <w:r w:rsidRPr="000413E2">
        <w:rPr>
          <w:rFonts w:eastAsia="Times New Roman"/>
        </w:rPr>
        <w:fldChar w:fldCharType="begin"/>
      </w:r>
      <w:r w:rsidRPr="000413E2">
        <w:rPr>
          <w:rFonts w:eastAsia="Times New Roman"/>
        </w:rPr>
        <w:instrText xml:space="preserve"> SEQ level0 \*arabic </w:instrText>
      </w:r>
      <w:r w:rsidRPr="000413E2">
        <w:rPr>
          <w:rFonts w:eastAsia="Times New Roman"/>
        </w:rPr>
        <w:fldChar w:fldCharType="separate"/>
      </w:r>
      <w:r w:rsidR="000413E2" w:rsidRPr="000413E2">
        <w:rPr>
          <w:rFonts w:eastAsia="Times New Roman"/>
          <w:noProof/>
        </w:rPr>
        <w:t>68</w:t>
      </w:r>
      <w:r w:rsidRPr="000413E2">
        <w:rPr>
          <w:rFonts w:eastAsia="Times New Roman"/>
        </w:rPr>
        <w:fldChar w:fldCharType="end"/>
      </w:r>
      <w:r w:rsidRPr="000413E2">
        <w:rPr>
          <w:rFonts w:eastAsia="Times New Roman"/>
        </w:rPr>
        <w:t>.  Eu égard à ce qui précède et nonobstant la marge d</w:t>
      </w:r>
      <w:r w:rsidR="000413E2" w:rsidRPr="000413E2">
        <w:rPr>
          <w:rFonts w:eastAsia="Times New Roman"/>
        </w:rPr>
        <w:t>’</w:t>
      </w:r>
      <w:r w:rsidRPr="000413E2">
        <w:rPr>
          <w:rFonts w:eastAsia="Times New Roman"/>
        </w:rPr>
        <w:t>appréciation de l</w:t>
      </w:r>
      <w:r w:rsidR="000413E2" w:rsidRPr="000413E2">
        <w:rPr>
          <w:rFonts w:eastAsia="Times New Roman"/>
        </w:rPr>
        <w:t>’</w:t>
      </w:r>
      <w:r w:rsidRPr="000413E2">
        <w:rPr>
          <w:rFonts w:eastAsia="Times New Roman"/>
        </w:rPr>
        <w:t>État défendeur en la matière, la Cour considère que les autorités nationales n</w:t>
      </w:r>
      <w:r w:rsidR="000413E2" w:rsidRPr="000413E2">
        <w:rPr>
          <w:rFonts w:eastAsia="Times New Roman"/>
        </w:rPr>
        <w:t>’</w:t>
      </w:r>
      <w:r w:rsidRPr="000413E2">
        <w:rPr>
          <w:rFonts w:eastAsia="Times New Roman"/>
        </w:rPr>
        <w:t>ont pas déployé les efforts adéquats et suffisants pour faire respecter le droit de visite du requérant et qu</w:t>
      </w:r>
      <w:r w:rsidR="000413E2" w:rsidRPr="000413E2">
        <w:rPr>
          <w:rFonts w:eastAsia="Times New Roman"/>
        </w:rPr>
        <w:t>’</w:t>
      </w:r>
      <w:r w:rsidRPr="000413E2">
        <w:rPr>
          <w:rFonts w:eastAsia="Times New Roman"/>
        </w:rPr>
        <w:t>elles ont méconnu le droit de l</w:t>
      </w:r>
      <w:r w:rsidR="000413E2" w:rsidRPr="000413E2">
        <w:rPr>
          <w:rFonts w:eastAsia="Times New Roman"/>
        </w:rPr>
        <w:t>’</w:t>
      </w:r>
      <w:r w:rsidRPr="000413E2">
        <w:rPr>
          <w:rFonts w:eastAsia="Times New Roman"/>
        </w:rPr>
        <w:t>intéressé au respect de sa vie familiale.</w:t>
      </w:r>
    </w:p>
    <w:p w:rsidR="00025024" w:rsidRPr="000413E2" w:rsidRDefault="00025024" w:rsidP="000413E2">
      <w:pPr>
        <w:pStyle w:val="JuPara"/>
        <w:rPr>
          <w:rFonts w:eastAsia="Times New Roman"/>
        </w:rPr>
      </w:pPr>
      <w:r w:rsidRPr="000413E2">
        <w:rPr>
          <w:rFonts w:eastAsia="Times New Roman"/>
        </w:rPr>
        <w:fldChar w:fldCharType="begin"/>
      </w:r>
      <w:r w:rsidRPr="000413E2">
        <w:rPr>
          <w:rFonts w:eastAsia="Times New Roman"/>
        </w:rPr>
        <w:instrText xml:space="preserve"> SEQ level0 \*arabic </w:instrText>
      </w:r>
      <w:r w:rsidRPr="000413E2">
        <w:rPr>
          <w:rFonts w:eastAsia="Times New Roman"/>
        </w:rPr>
        <w:fldChar w:fldCharType="separate"/>
      </w:r>
      <w:r w:rsidR="000413E2" w:rsidRPr="000413E2">
        <w:rPr>
          <w:rFonts w:eastAsia="Times New Roman"/>
          <w:noProof/>
        </w:rPr>
        <w:t>69</w:t>
      </w:r>
      <w:r w:rsidRPr="000413E2">
        <w:rPr>
          <w:rFonts w:eastAsia="Times New Roman"/>
        </w:rPr>
        <w:fldChar w:fldCharType="end"/>
      </w:r>
      <w:r w:rsidRPr="000413E2">
        <w:rPr>
          <w:rFonts w:eastAsia="Times New Roman"/>
        </w:rPr>
        <w:t>.  Partant, il y a eu violation de l</w:t>
      </w:r>
      <w:r w:rsidR="000413E2" w:rsidRPr="000413E2">
        <w:rPr>
          <w:rFonts w:eastAsia="Times New Roman"/>
        </w:rPr>
        <w:t>’</w:t>
      </w:r>
      <w:r w:rsidRPr="000413E2">
        <w:rPr>
          <w:rFonts w:eastAsia="Times New Roman"/>
        </w:rPr>
        <w:t>article 8 de la Convention.</w:t>
      </w:r>
      <w:bookmarkEnd w:id="12"/>
    </w:p>
    <w:p w:rsidR="00025024" w:rsidRPr="000413E2" w:rsidRDefault="00025024" w:rsidP="000413E2">
      <w:pPr>
        <w:pStyle w:val="JuHIRoman"/>
        <w:numPr>
          <w:ilvl w:val="1"/>
          <w:numId w:val="2"/>
        </w:numPr>
        <w:jc w:val="both"/>
        <w:rPr>
          <w:lang w:val="fr-FR"/>
        </w:rPr>
      </w:pPr>
      <w:r w:rsidRPr="000413E2">
        <w:rPr>
          <w:lang w:val="fr-FR"/>
        </w:rPr>
        <w:t>SUR L</w:t>
      </w:r>
      <w:r w:rsidR="000413E2" w:rsidRPr="000413E2">
        <w:rPr>
          <w:lang w:val="fr-FR"/>
        </w:rPr>
        <w:t>’</w:t>
      </w:r>
      <w:r w:rsidRPr="000413E2">
        <w:rPr>
          <w:lang w:val="fr-FR"/>
        </w:rPr>
        <w:t>APPLICATION DE L</w:t>
      </w:r>
      <w:r w:rsidR="000413E2" w:rsidRPr="000413E2">
        <w:rPr>
          <w:lang w:val="fr-FR"/>
        </w:rPr>
        <w:t>’</w:t>
      </w:r>
      <w:r w:rsidRPr="000413E2">
        <w:rPr>
          <w:lang w:val="fr-FR"/>
        </w:rPr>
        <w:t>ARTICLE 41 DE LA CONVENTION</w:t>
      </w:r>
    </w:p>
    <w:p w:rsidR="00025024" w:rsidRPr="000413E2" w:rsidRDefault="00025024" w:rsidP="000413E2">
      <w:pPr>
        <w:pStyle w:val="JuPara"/>
      </w:pPr>
      <w:r w:rsidRPr="000413E2">
        <w:fldChar w:fldCharType="begin"/>
      </w:r>
      <w:r w:rsidRPr="000413E2">
        <w:instrText xml:space="preserve"> SEQ level0 \*arabic </w:instrText>
      </w:r>
      <w:r w:rsidRPr="000413E2">
        <w:fldChar w:fldCharType="separate"/>
      </w:r>
      <w:r w:rsidR="000413E2" w:rsidRPr="000413E2">
        <w:rPr>
          <w:noProof/>
        </w:rPr>
        <w:t>70</w:t>
      </w:r>
      <w:r w:rsidRPr="000413E2">
        <w:fldChar w:fldCharType="end"/>
      </w:r>
      <w:r w:rsidRPr="000413E2">
        <w:t>.  </w:t>
      </w:r>
      <w:bookmarkStart w:id="29" w:name="_Hlk36128236"/>
      <w:r w:rsidRPr="000413E2">
        <w:t>Aux termes de l</w:t>
      </w:r>
      <w:r w:rsidR="000413E2" w:rsidRPr="000413E2">
        <w:t>’</w:t>
      </w:r>
      <w:r w:rsidRPr="000413E2">
        <w:t>article 41 de la Convention :</w:t>
      </w:r>
      <w:bookmarkEnd w:id="29"/>
    </w:p>
    <w:p w:rsidR="00025024" w:rsidRPr="000413E2" w:rsidRDefault="00025024" w:rsidP="000413E2">
      <w:pPr>
        <w:pStyle w:val="JuQuot"/>
      </w:pPr>
      <w:bookmarkStart w:id="30" w:name="_Hlk36128242"/>
      <w:r w:rsidRPr="000413E2">
        <w:t>« Si la Cour déclare qu</w:t>
      </w:r>
      <w:r w:rsidR="000413E2" w:rsidRPr="000413E2">
        <w:t>’</w:t>
      </w:r>
      <w:r w:rsidRPr="000413E2">
        <w:t>il y a eu violation de la Convention ou de ses Protocoles, et si le droit interne de la Haute Partie contractante ne permet d</w:t>
      </w:r>
      <w:r w:rsidR="000413E2" w:rsidRPr="000413E2">
        <w:t>’</w:t>
      </w:r>
      <w:r w:rsidRPr="000413E2">
        <w:t>effacer qu</w:t>
      </w:r>
      <w:r w:rsidR="000413E2" w:rsidRPr="000413E2">
        <w:t>’</w:t>
      </w:r>
      <w:r w:rsidRPr="000413E2">
        <w:t>imparfaitement les conséquences de cette violation, la Cour accorde à la partie lésée, s</w:t>
      </w:r>
      <w:r w:rsidR="000413E2" w:rsidRPr="000413E2">
        <w:t>’</w:t>
      </w:r>
      <w:r w:rsidRPr="000413E2">
        <w:t>il y a lieu, une satisfaction équitable. »</w:t>
      </w:r>
      <w:bookmarkEnd w:id="30"/>
    </w:p>
    <w:p w:rsidR="00025024" w:rsidRPr="000413E2" w:rsidRDefault="00025024" w:rsidP="000413E2">
      <w:pPr>
        <w:pStyle w:val="JuHA"/>
        <w:numPr>
          <w:ilvl w:val="2"/>
          <w:numId w:val="4"/>
        </w:numPr>
        <w:jc w:val="both"/>
      </w:pPr>
      <w:r w:rsidRPr="000413E2">
        <w:t>Dommage</w:t>
      </w:r>
    </w:p>
    <w:p w:rsidR="00025024" w:rsidRPr="000413E2" w:rsidRDefault="00025024" w:rsidP="000413E2">
      <w:pPr>
        <w:pStyle w:val="JuPara"/>
      </w:pPr>
      <w:r w:rsidRPr="000413E2">
        <w:fldChar w:fldCharType="begin"/>
      </w:r>
      <w:r w:rsidRPr="000413E2">
        <w:instrText xml:space="preserve"> SEQ level0 \*arabic </w:instrText>
      </w:r>
      <w:r w:rsidRPr="000413E2">
        <w:fldChar w:fldCharType="separate"/>
      </w:r>
      <w:r w:rsidR="000413E2" w:rsidRPr="000413E2">
        <w:rPr>
          <w:noProof/>
        </w:rPr>
        <w:t>71</w:t>
      </w:r>
      <w:r w:rsidRPr="000413E2">
        <w:fldChar w:fldCharType="end"/>
      </w:r>
      <w:r w:rsidRPr="000413E2">
        <w:t>.  Le requérant demande 50</w:t>
      </w:r>
      <w:r w:rsidR="00D931D5" w:rsidRPr="000413E2">
        <w:t> </w:t>
      </w:r>
      <w:r w:rsidRPr="000413E2">
        <w:t>000 euros (EUR) au titre du dommage matériel pour les voyages qu</w:t>
      </w:r>
      <w:r w:rsidR="000413E2" w:rsidRPr="000413E2">
        <w:t>’</w:t>
      </w:r>
      <w:r w:rsidRPr="000413E2">
        <w:t>il dit avoir dû effectuer pour pouvoir rencontrer son fils et 80</w:t>
      </w:r>
      <w:r w:rsidR="00D931D5" w:rsidRPr="000413E2">
        <w:t> </w:t>
      </w:r>
      <w:r w:rsidRPr="000413E2">
        <w:t>000 EUR pour le dommage moral qu</w:t>
      </w:r>
      <w:r w:rsidR="000413E2" w:rsidRPr="000413E2">
        <w:t>’</w:t>
      </w:r>
      <w:r w:rsidRPr="000413E2">
        <w:t>il aurait subi en raison de la difficulté à entretenir une relation avec lui de 2010 à 2018.</w:t>
      </w:r>
    </w:p>
    <w:p w:rsidR="00025024" w:rsidRPr="000413E2" w:rsidRDefault="00025024" w:rsidP="000413E2">
      <w:pPr>
        <w:pStyle w:val="JuPara"/>
      </w:pPr>
      <w:r w:rsidRPr="000413E2">
        <w:fldChar w:fldCharType="begin"/>
      </w:r>
      <w:r w:rsidRPr="000413E2">
        <w:instrText xml:space="preserve"> SEQ level0 \*arabic </w:instrText>
      </w:r>
      <w:r w:rsidRPr="000413E2">
        <w:fldChar w:fldCharType="separate"/>
      </w:r>
      <w:r w:rsidR="000413E2" w:rsidRPr="000413E2">
        <w:rPr>
          <w:noProof/>
        </w:rPr>
        <w:t>72</w:t>
      </w:r>
      <w:r w:rsidRPr="000413E2">
        <w:fldChar w:fldCharType="end"/>
      </w:r>
      <w:r w:rsidRPr="000413E2">
        <w:t>.  Le Gouvernement conteste les prétentions du requérant et soutient que, s</w:t>
      </w:r>
      <w:r w:rsidR="000413E2" w:rsidRPr="000413E2">
        <w:t>’</w:t>
      </w:r>
      <w:r w:rsidRPr="000413E2">
        <w:t>agissant du dommage matériel, il n</w:t>
      </w:r>
      <w:r w:rsidR="000413E2" w:rsidRPr="000413E2">
        <w:t>’</w:t>
      </w:r>
      <w:r w:rsidRPr="000413E2">
        <w:t>existe pas de lien de causalité entre les dommages invoqués et l</w:t>
      </w:r>
      <w:r w:rsidR="000413E2" w:rsidRPr="000413E2">
        <w:t>’</w:t>
      </w:r>
      <w:r w:rsidRPr="000413E2">
        <w:t>action de l</w:t>
      </w:r>
      <w:r w:rsidR="000413E2" w:rsidRPr="000413E2">
        <w:t>’</w:t>
      </w:r>
      <w:r w:rsidRPr="000413E2">
        <w:t>État. S</w:t>
      </w:r>
      <w:r w:rsidR="000413E2" w:rsidRPr="000413E2">
        <w:t>’</w:t>
      </w:r>
      <w:r w:rsidRPr="000413E2">
        <w:t>agissant du dommage moral, il s</w:t>
      </w:r>
      <w:r w:rsidR="000413E2" w:rsidRPr="000413E2">
        <w:t>’</w:t>
      </w:r>
      <w:r w:rsidRPr="000413E2">
        <w:t>en remet à la sagesse de la Cour.</w:t>
      </w:r>
    </w:p>
    <w:p w:rsidR="00025024" w:rsidRPr="000413E2" w:rsidRDefault="00025024" w:rsidP="000413E2">
      <w:pPr>
        <w:pStyle w:val="JuPara"/>
      </w:pPr>
      <w:r w:rsidRPr="000413E2">
        <w:rPr>
          <w:rFonts w:ascii="Times New Roman" w:hAnsi="Times New Roman" w:cs="Times New Roman"/>
          <w:color w:val="000000"/>
        </w:rPr>
        <w:lastRenderedPageBreak/>
        <w:fldChar w:fldCharType="begin"/>
      </w:r>
      <w:r w:rsidRPr="000413E2">
        <w:rPr>
          <w:rFonts w:ascii="Times New Roman" w:hAnsi="Times New Roman" w:cs="Times New Roman"/>
          <w:color w:val="000000"/>
        </w:rPr>
        <w:instrText xml:space="preserve"> SEQ level0 \*arabic </w:instrText>
      </w:r>
      <w:r w:rsidRPr="000413E2">
        <w:rPr>
          <w:rFonts w:ascii="Times New Roman" w:hAnsi="Times New Roman" w:cs="Times New Roman"/>
          <w:color w:val="000000"/>
        </w:rPr>
        <w:fldChar w:fldCharType="separate"/>
      </w:r>
      <w:r w:rsidR="000413E2" w:rsidRPr="000413E2">
        <w:rPr>
          <w:rFonts w:ascii="Times New Roman" w:hAnsi="Times New Roman" w:cs="Times New Roman"/>
          <w:noProof/>
          <w:color w:val="000000"/>
        </w:rPr>
        <w:t>73</w:t>
      </w:r>
      <w:r w:rsidRPr="000413E2">
        <w:rPr>
          <w:rFonts w:ascii="Times New Roman" w:hAnsi="Times New Roman" w:cs="Times New Roman"/>
          <w:color w:val="000000"/>
        </w:rPr>
        <w:fldChar w:fldCharType="end"/>
      </w:r>
      <w:r w:rsidRPr="000413E2">
        <w:t>.  La Cour constate qu</w:t>
      </w:r>
      <w:r w:rsidR="000413E2" w:rsidRPr="000413E2">
        <w:t>’</w:t>
      </w:r>
      <w:r w:rsidRPr="000413E2">
        <w:t>il n</w:t>
      </w:r>
      <w:r w:rsidR="000413E2" w:rsidRPr="000413E2">
        <w:t>’</w:t>
      </w:r>
      <w:r w:rsidRPr="000413E2">
        <w:t>y a pas un lien de causalité direct entre la violation constatée et le dommage matériel allégué. Quant au dommage moral, en tenant compte des circonstances de l</w:t>
      </w:r>
      <w:r w:rsidR="000413E2" w:rsidRPr="000413E2">
        <w:t>’</w:t>
      </w:r>
      <w:r w:rsidRPr="000413E2">
        <w:t>espèce, la Cour considère que l</w:t>
      </w:r>
      <w:r w:rsidR="000413E2" w:rsidRPr="000413E2">
        <w:t>’</w:t>
      </w:r>
      <w:r w:rsidRPr="000413E2">
        <w:t>intéressé a subi un préjudice moral qui ne saurait être réparé par le seul constat de violation de l</w:t>
      </w:r>
      <w:r w:rsidR="000413E2" w:rsidRPr="000413E2">
        <w:t>’</w:t>
      </w:r>
      <w:r w:rsidRPr="000413E2">
        <w:t>article 8 de la Convention. Elle estime toutefois que la somme réclamée à ce titre est exagérée. Eu égard à l</w:t>
      </w:r>
      <w:r w:rsidR="000413E2" w:rsidRPr="000413E2">
        <w:t>’</w:t>
      </w:r>
      <w:r w:rsidRPr="000413E2">
        <w:t>ensemble des éléments dont elle dispose et statuant en équité, comme le veut l</w:t>
      </w:r>
      <w:r w:rsidR="000413E2" w:rsidRPr="000413E2">
        <w:t>’</w:t>
      </w:r>
      <w:r w:rsidRPr="000413E2">
        <w:t>article 41 de la Convention, elle alloue à l</w:t>
      </w:r>
      <w:r w:rsidR="000413E2" w:rsidRPr="000413E2">
        <w:t>’</w:t>
      </w:r>
      <w:r w:rsidR="00D931D5" w:rsidRPr="000413E2">
        <w:t>intéressé 10 </w:t>
      </w:r>
      <w:r w:rsidRPr="000413E2">
        <w:t>000 EUR de ce chef.</w:t>
      </w:r>
    </w:p>
    <w:p w:rsidR="00025024" w:rsidRPr="000413E2" w:rsidRDefault="00025024" w:rsidP="000413E2">
      <w:pPr>
        <w:pStyle w:val="JuHA"/>
        <w:jc w:val="both"/>
      </w:pPr>
      <w:r w:rsidRPr="000413E2">
        <w:t>Frais et dépens</w:t>
      </w:r>
    </w:p>
    <w:p w:rsidR="00025024" w:rsidRPr="000413E2" w:rsidRDefault="00025024" w:rsidP="000413E2">
      <w:pPr>
        <w:pStyle w:val="JuPara"/>
      </w:pPr>
      <w:r w:rsidRPr="000413E2">
        <w:fldChar w:fldCharType="begin"/>
      </w:r>
      <w:r w:rsidRPr="000413E2">
        <w:instrText xml:space="preserve"> SEQ level0 \*arabic </w:instrText>
      </w:r>
      <w:r w:rsidRPr="000413E2">
        <w:fldChar w:fldCharType="separate"/>
      </w:r>
      <w:r w:rsidR="000413E2" w:rsidRPr="000413E2">
        <w:rPr>
          <w:noProof/>
        </w:rPr>
        <w:t>74</w:t>
      </w:r>
      <w:r w:rsidRPr="000413E2">
        <w:fldChar w:fldCharType="end"/>
      </w:r>
      <w:r w:rsidRPr="000413E2">
        <w:t>.  Le requérant demande 1</w:t>
      </w:r>
      <w:r w:rsidR="00D931D5" w:rsidRPr="000413E2">
        <w:t> </w:t>
      </w:r>
      <w:r w:rsidRPr="000413E2">
        <w:t>750,89 EUR pour les frais et dépenses devant les juridictions internes, et, justificatifs à l</w:t>
      </w:r>
      <w:r w:rsidR="000413E2" w:rsidRPr="000413E2">
        <w:t>’</w:t>
      </w:r>
      <w:r w:rsidRPr="000413E2">
        <w:t>appui, 5</w:t>
      </w:r>
      <w:r w:rsidR="00D931D5" w:rsidRPr="000413E2">
        <w:t> </w:t>
      </w:r>
      <w:r w:rsidRPr="000413E2">
        <w:t>328,96 EUR au titre des frais et dépens devant la Cour.</w:t>
      </w:r>
    </w:p>
    <w:p w:rsidR="00025024" w:rsidRPr="000413E2" w:rsidRDefault="00025024" w:rsidP="000413E2">
      <w:pPr>
        <w:pStyle w:val="JuPara"/>
      </w:pPr>
      <w:r w:rsidRPr="000413E2">
        <w:fldChar w:fldCharType="begin"/>
      </w:r>
      <w:r w:rsidRPr="000413E2">
        <w:instrText xml:space="preserve"> SEQ level0 \*arabic </w:instrText>
      </w:r>
      <w:r w:rsidRPr="000413E2">
        <w:fldChar w:fldCharType="separate"/>
      </w:r>
      <w:r w:rsidR="000413E2" w:rsidRPr="000413E2">
        <w:rPr>
          <w:noProof/>
        </w:rPr>
        <w:t>75</w:t>
      </w:r>
      <w:r w:rsidRPr="000413E2">
        <w:fldChar w:fldCharType="end"/>
      </w:r>
      <w:r w:rsidRPr="000413E2">
        <w:t>.  Le Gouvernement estime que la somme réclamée pour la procédure interne n</w:t>
      </w:r>
      <w:r w:rsidR="000413E2" w:rsidRPr="000413E2">
        <w:t>’</w:t>
      </w:r>
      <w:r w:rsidRPr="000413E2">
        <w:t>est pas justifiée et celle pour les frais et dépens devant la Cour est exorbitante.</w:t>
      </w:r>
    </w:p>
    <w:p w:rsidR="00025024" w:rsidRPr="000413E2" w:rsidRDefault="00025024" w:rsidP="000413E2">
      <w:pPr>
        <w:pStyle w:val="JuPara"/>
      </w:pPr>
      <w:r w:rsidRPr="000413E2">
        <w:fldChar w:fldCharType="begin"/>
      </w:r>
      <w:r w:rsidRPr="000413E2">
        <w:instrText xml:space="preserve"> SEQ level0 \*arabic </w:instrText>
      </w:r>
      <w:r w:rsidRPr="000413E2">
        <w:fldChar w:fldCharType="separate"/>
      </w:r>
      <w:r w:rsidR="000413E2" w:rsidRPr="000413E2">
        <w:rPr>
          <w:noProof/>
        </w:rPr>
        <w:t>76</w:t>
      </w:r>
      <w:r w:rsidRPr="000413E2">
        <w:fldChar w:fldCharType="end"/>
      </w:r>
      <w:r w:rsidRPr="000413E2">
        <w:t>.  Selon la jurisprudence de la Cour, un requérant ne peut obtenir le remboursement de ses frais et dépens que dans la mesure où se trouvent établis leur réalité, leur nécessité et le caractère raisonnable de leur taux. En l</w:t>
      </w:r>
      <w:r w:rsidR="000413E2" w:rsidRPr="000413E2">
        <w:t>’</w:t>
      </w:r>
      <w:r w:rsidRPr="000413E2">
        <w:t>espèce, compte tenu des documents dont elle dispose et de sa jurisprudence, la Cour e</w:t>
      </w:r>
      <w:r w:rsidR="00D931D5" w:rsidRPr="000413E2">
        <w:t>stime raisonnable la somme de 5 </w:t>
      </w:r>
      <w:r w:rsidRPr="000413E2">
        <w:t>000 EUR tous frais confondus et l</w:t>
      </w:r>
      <w:r w:rsidR="000413E2" w:rsidRPr="000413E2">
        <w:t>’</w:t>
      </w:r>
      <w:r w:rsidRPr="000413E2">
        <w:t>accorde au requérant.</w:t>
      </w:r>
    </w:p>
    <w:p w:rsidR="00025024" w:rsidRPr="000413E2" w:rsidRDefault="00025024" w:rsidP="000413E2">
      <w:pPr>
        <w:pStyle w:val="JuHA"/>
        <w:jc w:val="both"/>
      </w:pPr>
      <w:r w:rsidRPr="000413E2">
        <w:t>Intérêts moratoires</w:t>
      </w:r>
    </w:p>
    <w:p w:rsidR="00025024" w:rsidRPr="000413E2" w:rsidRDefault="00025024" w:rsidP="000413E2">
      <w:pPr>
        <w:pStyle w:val="JuPara"/>
      </w:pPr>
      <w:r w:rsidRPr="000413E2">
        <w:fldChar w:fldCharType="begin"/>
      </w:r>
      <w:r w:rsidRPr="000413E2">
        <w:instrText xml:space="preserve"> SEQ level0 \*arabic </w:instrText>
      </w:r>
      <w:r w:rsidRPr="000413E2">
        <w:fldChar w:fldCharType="separate"/>
      </w:r>
      <w:r w:rsidR="000413E2" w:rsidRPr="000413E2">
        <w:rPr>
          <w:noProof/>
        </w:rPr>
        <w:t>77</w:t>
      </w:r>
      <w:r w:rsidRPr="000413E2">
        <w:fldChar w:fldCharType="end"/>
      </w:r>
      <w:r w:rsidRPr="000413E2">
        <w:t>.  La Cour juge approprié de calquer le taux des intérêts moratoires sur le taux d</w:t>
      </w:r>
      <w:r w:rsidR="000413E2" w:rsidRPr="000413E2">
        <w:t>’</w:t>
      </w:r>
      <w:r w:rsidRPr="000413E2">
        <w:t>intérêt de la facilité de prêt marginal de la Banque centrale européenne majoré de trois points de pourcentage.</w:t>
      </w:r>
    </w:p>
    <w:p w:rsidR="00025024" w:rsidRPr="000413E2" w:rsidRDefault="00025024" w:rsidP="000413E2">
      <w:pPr>
        <w:pStyle w:val="JuHHead"/>
        <w:numPr>
          <w:ilvl w:val="0"/>
          <w:numId w:val="2"/>
        </w:numPr>
        <w:jc w:val="both"/>
        <w:rPr>
          <w:lang w:val="fr-FR"/>
        </w:rPr>
      </w:pPr>
      <w:r w:rsidRPr="000413E2">
        <w:rPr>
          <w:lang w:val="fr-FR"/>
        </w:rPr>
        <w:t>PAR CES MOTIFS, LA COUR, À L</w:t>
      </w:r>
      <w:r w:rsidR="000413E2" w:rsidRPr="000413E2">
        <w:rPr>
          <w:lang w:val="fr-FR"/>
        </w:rPr>
        <w:t>’</w:t>
      </w:r>
      <w:r w:rsidRPr="000413E2">
        <w:rPr>
          <w:lang w:val="fr-FR"/>
        </w:rPr>
        <w:t>UNANIMITÉ,</w:t>
      </w:r>
    </w:p>
    <w:p w:rsidR="008A372E" w:rsidRPr="000413E2" w:rsidRDefault="008A372E" w:rsidP="000413E2">
      <w:pPr>
        <w:pStyle w:val="JuList"/>
        <w:numPr>
          <w:ilvl w:val="0"/>
          <w:numId w:val="3"/>
        </w:numPr>
        <w:ind w:left="0" w:firstLine="0"/>
      </w:pPr>
      <w:r w:rsidRPr="000413E2">
        <w:rPr>
          <w:i/>
        </w:rPr>
        <w:t>Déclare</w:t>
      </w:r>
      <w:r w:rsidRPr="000413E2">
        <w:t xml:space="preserve"> la requête recevable ;</w:t>
      </w:r>
    </w:p>
    <w:p w:rsidR="008A372E" w:rsidRPr="000413E2" w:rsidRDefault="008A372E" w:rsidP="000413E2">
      <w:pPr>
        <w:pStyle w:val="JuList"/>
        <w:numPr>
          <w:ilvl w:val="0"/>
          <w:numId w:val="3"/>
        </w:numPr>
      </w:pPr>
      <w:r w:rsidRPr="000413E2">
        <w:rPr>
          <w:i/>
        </w:rPr>
        <w:t>Dit</w:t>
      </w:r>
      <w:r w:rsidRPr="000413E2">
        <w:t xml:space="preserve"> qu</w:t>
      </w:r>
      <w:r w:rsidR="000413E2" w:rsidRPr="000413E2">
        <w:t>’</w:t>
      </w:r>
      <w:r w:rsidRPr="000413E2">
        <w:t>il y a eu violation de l</w:t>
      </w:r>
      <w:r w:rsidR="000413E2" w:rsidRPr="000413E2">
        <w:t>’</w:t>
      </w:r>
      <w:r w:rsidRPr="000413E2">
        <w:t>article 8 de la Convention ;</w:t>
      </w:r>
    </w:p>
    <w:p w:rsidR="008A372E" w:rsidRPr="000413E2" w:rsidRDefault="008A372E" w:rsidP="000413E2">
      <w:pPr>
        <w:pStyle w:val="JuList"/>
        <w:numPr>
          <w:ilvl w:val="0"/>
          <w:numId w:val="3"/>
        </w:numPr>
      </w:pPr>
      <w:r w:rsidRPr="000413E2">
        <w:rPr>
          <w:i/>
        </w:rPr>
        <w:t>Dit</w:t>
      </w:r>
      <w:r w:rsidRPr="000413E2">
        <w:t>,</w:t>
      </w:r>
    </w:p>
    <w:p w:rsidR="008A372E" w:rsidRPr="000413E2" w:rsidRDefault="008A372E" w:rsidP="000413E2">
      <w:pPr>
        <w:pStyle w:val="JuLista"/>
      </w:pPr>
      <w:r w:rsidRPr="000413E2">
        <w:t>que l</w:t>
      </w:r>
      <w:r w:rsidR="000413E2" w:rsidRPr="000413E2">
        <w:t>’</w:t>
      </w:r>
      <w:r w:rsidRPr="000413E2">
        <w:t>État défendeur doit verser au requérant, dans un délai de trois mois les sommes suivantes ;</w:t>
      </w:r>
    </w:p>
    <w:p w:rsidR="008A372E" w:rsidRPr="000413E2" w:rsidRDefault="008A372E" w:rsidP="000413E2">
      <w:pPr>
        <w:pStyle w:val="JuListi"/>
      </w:pPr>
      <w:r w:rsidRPr="000413E2">
        <w:t>10 000 EUR (dix mille euros), plus tout montant pouvant être dû sur cette somme à titre d</w:t>
      </w:r>
      <w:r w:rsidR="000413E2" w:rsidRPr="000413E2">
        <w:t>’</w:t>
      </w:r>
      <w:r w:rsidRPr="000413E2">
        <w:t>impôt, pour dommage moral ;</w:t>
      </w:r>
    </w:p>
    <w:p w:rsidR="008A372E" w:rsidRPr="000413E2" w:rsidRDefault="008A372E" w:rsidP="000413E2">
      <w:pPr>
        <w:pStyle w:val="JuListi"/>
      </w:pPr>
      <w:r w:rsidRPr="000413E2">
        <w:lastRenderedPageBreak/>
        <w:t>5 000 EUR (cinq mille euros), plus tout montant pouvant être dû sur cette somme par le requérant à titre d</w:t>
      </w:r>
      <w:r w:rsidR="000413E2" w:rsidRPr="000413E2">
        <w:t>’</w:t>
      </w:r>
      <w:r w:rsidRPr="000413E2">
        <w:t>impôt, pour frais et dépens ;</w:t>
      </w:r>
    </w:p>
    <w:p w:rsidR="008A372E" w:rsidRPr="000413E2" w:rsidRDefault="008A372E" w:rsidP="000413E2">
      <w:pPr>
        <w:pStyle w:val="JuLista"/>
      </w:pPr>
      <w:r w:rsidRPr="000413E2">
        <w:t>qu</w:t>
      </w:r>
      <w:r w:rsidR="000413E2" w:rsidRPr="000413E2">
        <w:t>’</w:t>
      </w:r>
      <w:r w:rsidRPr="000413E2">
        <w:t>à compter de l</w:t>
      </w:r>
      <w:r w:rsidR="000413E2" w:rsidRPr="000413E2">
        <w:t>’</w:t>
      </w:r>
      <w:r w:rsidRPr="000413E2">
        <w:t>expiration dudit délai et jusqu</w:t>
      </w:r>
      <w:r w:rsidR="000413E2" w:rsidRPr="000413E2">
        <w:t>’</w:t>
      </w:r>
      <w:r w:rsidRPr="000413E2">
        <w:t>au versement, ces montants seront à majorer d</w:t>
      </w:r>
      <w:r w:rsidR="000413E2" w:rsidRPr="000413E2">
        <w:t>’</w:t>
      </w:r>
      <w:r w:rsidRPr="000413E2">
        <w:t>un intérêt simple à un taux égal à celui de la facilité de prêt marginal de la Banque centrale européenne applicable pendant cette période, augmenté de trois points de pourcentage ;</w:t>
      </w:r>
    </w:p>
    <w:p w:rsidR="008A372E" w:rsidRPr="000413E2" w:rsidRDefault="008A372E" w:rsidP="000413E2">
      <w:pPr>
        <w:pStyle w:val="JuList"/>
        <w:numPr>
          <w:ilvl w:val="0"/>
          <w:numId w:val="3"/>
        </w:numPr>
        <w:rPr>
          <w:rStyle w:val="JuParaChar"/>
        </w:rPr>
      </w:pPr>
      <w:r w:rsidRPr="000413E2">
        <w:rPr>
          <w:i/>
        </w:rPr>
        <w:t>Rejette</w:t>
      </w:r>
      <w:r w:rsidRPr="000413E2">
        <w:t xml:space="preserve"> le surplus de la demande de satisfaction équitable.</w:t>
      </w:r>
    </w:p>
    <w:p w:rsidR="00893F30" w:rsidRPr="000413E2" w:rsidRDefault="00893F30" w:rsidP="000413E2">
      <w:pPr>
        <w:pStyle w:val="JuParaLast"/>
      </w:pPr>
      <w:r w:rsidRPr="000413E2">
        <w:t xml:space="preserve">Fait en français, puis communiqué par écrit le </w:t>
      </w:r>
      <w:r w:rsidR="00025024" w:rsidRPr="000413E2">
        <w:t>10 décembre 2020</w:t>
      </w:r>
      <w:r w:rsidRPr="000413E2">
        <w:t>, en application de l</w:t>
      </w:r>
      <w:r w:rsidR="000413E2" w:rsidRPr="000413E2">
        <w:t>’</w:t>
      </w:r>
      <w:r w:rsidRPr="000413E2">
        <w:t>article 77 §§ 2 et 3 du règlement.</w:t>
      </w:r>
    </w:p>
    <w:p w:rsidR="00876F03" w:rsidRPr="000413E2" w:rsidRDefault="00FE57EF" w:rsidP="000413E2">
      <w:pPr>
        <w:pStyle w:val="JuSigned"/>
      </w:pPr>
      <w:r w:rsidRPr="000413E2">
        <w:tab/>
      </w:r>
      <w:r w:rsidR="00025024" w:rsidRPr="000413E2">
        <w:t>Renata Degener</w:t>
      </w:r>
      <w:r w:rsidR="004344E6" w:rsidRPr="000413E2">
        <w:tab/>
      </w:r>
      <w:r w:rsidR="00025024" w:rsidRPr="000413E2">
        <w:t>Alena Poláčková</w:t>
      </w:r>
      <w:r w:rsidR="004344E6" w:rsidRPr="000413E2">
        <w:br/>
      </w:r>
      <w:r w:rsidR="004344E6" w:rsidRPr="000413E2">
        <w:tab/>
      </w:r>
      <w:r w:rsidR="00025024" w:rsidRPr="000413E2">
        <w:t>Greffière adjointe</w:t>
      </w:r>
      <w:r w:rsidR="004344E6" w:rsidRPr="000413E2">
        <w:tab/>
      </w:r>
      <w:r w:rsidR="00025024" w:rsidRPr="000413E2">
        <w:t>Présidente</w:t>
      </w:r>
    </w:p>
    <w:sectPr w:rsidR="00876F03" w:rsidRPr="000413E2">
      <w:headerReference w:type="even" r:id="rId30"/>
      <w:headerReference w:type="default" r:id="rId31"/>
      <w:footerReference w:type="default" r:id="rId32"/>
      <w:footnotePr>
        <w:numRestart w:val="eachSect"/>
      </w:footnotePr>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779" w:rsidRPr="000A20EB" w:rsidRDefault="00376779" w:rsidP="00516B59">
      <w:r w:rsidRPr="000A20EB">
        <w:separator/>
      </w:r>
    </w:p>
  </w:endnote>
  <w:endnote w:type="continuationSeparator" w:id="0">
    <w:p w:rsidR="00376779" w:rsidRPr="000A20EB" w:rsidRDefault="00376779" w:rsidP="00516B59">
      <w:r w:rsidRPr="000A20E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70B" w:rsidRDefault="0018370B" w:rsidP="00954AD6">
    <w:pPr>
      <w:pStyle w:val="JuHeader"/>
    </w:pPr>
    <w:r>
      <w:fldChar w:fldCharType="begin"/>
    </w:r>
    <w:r>
      <w:instrText xml:space="preserve"> PAGE </w:instrText>
    </w:r>
    <w:r>
      <w:fldChar w:fldCharType="separate"/>
    </w:r>
    <w:r w:rsidR="000413E2">
      <w:rPr>
        <w:noProof/>
      </w:rPr>
      <w:t>14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70B" w:rsidRPr="00150BFA" w:rsidRDefault="0018370B" w:rsidP="0018370B">
    <w:pPr>
      <w:jc w:val="center"/>
    </w:pPr>
    <w:r>
      <w:rPr>
        <w:noProof/>
        <w:lang w:val="en-US" w:eastAsia="ja-JP"/>
      </w:rPr>
      <w:drawing>
        <wp:inline distT="0" distB="0" distL="0" distR="0" wp14:anchorId="4D6CEEA4" wp14:editId="670BE118">
          <wp:extent cx="771525" cy="619125"/>
          <wp:effectExtent l="0" t="0" r="9525" b="9525"/>
          <wp:docPr id="76" name="Picture 7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8370B" w:rsidRPr="000A20EB" w:rsidRDefault="0018370B" w:rsidP="00F27D13">
    <w:pPr>
      <w:pStyle w:val="Pidipagina"/>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70B" w:rsidRPr="00150BFA" w:rsidRDefault="0018370B" w:rsidP="0018370B">
    <w:pPr>
      <w:jc w:val="center"/>
    </w:pPr>
    <w:r>
      <w:rPr>
        <w:noProof/>
        <w:lang w:val="en-US" w:eastAsia="ja-JP"/>
      </w:rPr>
      <w:drawing>
        <wp:inline distT="0" distB="0" distL="0" distR="0" wp14:anchorId="32078E68" wp14:editId="66EEF1B0">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8370B" w:rsidRPr="000A20EB" w:rsidRDefault="0018370B" w:rsidP="00902601">
    <w:pPr>
      <w:pStyle w:val="Pidipagina"/>
      <w:jc w:val="cen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70B" w:rsidRPr="00D01935" w:rsidRDefault="0018370B" w:rsidP="00662882">
    <w:pPr>
      <w:pStyle w:val="JuHeader"/>
    </w:pPr>
    <w:r>
      <w:fldChar w:fldCharType="begin"/>
    </w:r>
    <w:r>
      <w:instrText xml:space="preserve"> PAGE </w:instrText>
    </w:r>
    <w:r>
      <w:fldChar w:fldCharType="separate"/>
    </w:r>
    <w:r w:rsidR="000413E2">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779" w:rsidRPr="000A20EB" w:rsidRDefault="00376779" w:rsidP="00516B59">
      <w:r w:rsidRPr="000A20EB">
        <w:separator/>
      </w:r>
    </w:p>
  </w:footnote>
  <w:footnote w:type="continuationSeparator" w:id="0">
    <w:p w:rsidR="00376779" w:rsidRPr="000A20EB" w:rsidRDefault="00376779" w:rsidP="00516B59">
      <w:r w:rsidRPr="000A20E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70B" w:rsidRPr="00A45145" w:rsidRDefault="0018370B" w:rsidP="0018370B">
    <w:pPr>
      <w:jc w:val="center"/>
    </w:pPr>
    <w:r>
      <w:rPr>
        <w:noProof/>
        <w:lang w:val="en-US" w:eastAsia="ja-JP"/>
      </w:rPr>
      <w:drawing>
        <wp:inline distT="0" distB="0" distL="0" distR="0" wp14:anchorId="781D79F9" wp14:editId="1DDD4A02">
          <wp:extent cx="2962275" cy="1219200"/>
          <wp:effectExtent l="0" t="0" r="9525" b="0"/>
          <wp:docPr id="73" name="Picture 7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8370B" w:rsidRPr="000A20EB" w:rsidRDefault="0018370B" w:rsidP="001837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70B" w:rsidRPr="00A45145" w:rsidRDefault="0018370B" w:rsidP="0018370B">
    <w:pPr>
      <w:jc w:val="center"/>
    </w:pPr>
    <w:r>
      <w:rPr>
        <w:noProof/>
        <w:lang w:val="en-US" w:eastAsia="ja-JP"/>
      </w:rPr>
      <w:drawing>
        <wp:inline distT="0" distB="0" distL="0" distR="0" wp14:anchorId="4DC7358D" wp14:editId="6E5E4846">
          <wp:extent cx="2962275" cy="1219200"/>
          <wp:effectExtent l="0" t="0" r="9525" b="0"/>
          <wp:docPr id="61" name="Picture 6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8370B" w:rsidRPr="000A20EB" w:rsidRDefault="0018370B" w:rsidP="00902601">
    <w:pPr>
      <w:jc w:val="cent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70B" w:rsidRPr="00592C8D" w:rsidRDefault="0018370B" w:rsidP="00A21624">
    <w:pPr>
      <w:pStyle w:val="JuHeader"/>
      <w:rPr>
        <w:lang w:val="en-US"/>
      </w:rPr>
    </w:pPr>
    <w:r w:rsidRPr="00592C8D">
      <w:rPr>
        <w:lang w:val="en-US"/>
      </w:rPr>
      <w:t xml:space="preserve">ARRÊT </w:t>
    </w:r>
    <w:r>
      <w:rPr>
        <w:lang w:val="en-US"/>
      </w:rPr>
      <w:t>A.V. c. ITALIE</w:t>
    </w:r>
    <w:r w:rsidRPr="00592C8D">
      <w:rPr>
        <w:noProof/>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70B" w:rsidRPr="00662882" w:rsidRDefault="0018370B" w:rsidP="00662882">
    <w:pPr>
      <w:pStyle w:val="JuHeader"/>
    </w:pPr>
    <w:r w:rsidRPr="00592C8D">
      <w:rPr>
        <w:lang w:val="en-US"/>
      </w:rPr>
      <w:t xml:space="preserve">ARRÊT </w:t>
    </w:r>
    <w:r>
      <w:rPr>
        <w:lang w:val="en-US"/>
      </w:rPr>
      <w:t>A.V. c. ITALIE</w:t>
    </w:r>
    <w:r w:rsidRPr="00592C8D">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8B2457E6"/>
    <w:lvl w:ilvl="0">
      <w:start w:val="1"/>
      <w:numFmt w:val="none"/>
      <w:pStyle w:val="JuHHead"/>
      <w:suff w:val="nothing"/>
      <w:lvlText w:val="%1"/>
      <w:lvlJc w:val="left"/>
      <w:pPr>
        <w:ind w:left="0" w:firstLine="0"/>
      </w:pPr>
      <w:rPr>
        <w:rFonts w:hint="default"/>
      </w:rPr>
    </w:lvl>
    <w:lvl w:ilvl="1">
      <w:start w:val="1"/>
      <w:numFmt w:val="upperRoman"/>
      <w:pStyle w:val="JuHIRoman"/>
      <w:suff w:val="space"/>
      <w:lvlText w:val="%2."/>
      <w:lvlJc w:val="left"/>
      <w:pPr>
        <w:ind w:left="357" w:hanging="357"/>
      </w:pPr>
      <w:rPr>
        <w:rFonts w:hint="default"/>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372" w:hanging="334"/>
      </w:pPr>
      <w:rPr>
        <w:rFonts w:asciiTheme="minorHAnsi" w:hAnsiTheme="minorHAnsi" w:hint="default"/>
        <w:b w:val="0"/>
        <w:i w:val="0"/>
      </w:rPr>
    </w:lvl>
    <w:lvl w:ilvl="7">
      <w:start w:val="1"/>
      <w:numFmt w:val="bullet"/>
      <w:pStyle w:val="JuH"/>
      <w:lvlText w:val="‒"/>
      <w:lvlJc w:val="left"/>
      <w:pPr>
        <w:ind w:left="1418" w:hanging="182"/>
      </w:pPr>
      <w:rPr>
        <w:rFonts w:ascii="Times New Roman" w:hAnsi="Times New Roman" w:cs="Times New Roman" w:hint="default"/>
        <w:color w:val="auto"/>
      </w:rPr>
    </w:lvl>
    <w:lvl w:ilvl="8">
      <w:start w:val="1"/>
      <w:numFmt w:val="bullet"/>
      <w:pStyle w:val="ECHRHeading9"/>
      <w:lvlText w:val="▪"/>
      <w:lvlJc w:val="left"/>
      <w:pPr>
        <w:ind w:left="1644" w:hanging="221"/>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85E6A40"/>
    <w:multiLevelType w:val="multilevel"/>
    <w:tmpl w:val="3704F6F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16F4115E"/>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6"/>
  </w:num>
  <w:num w:numId="2">
    <w:abstractNumId w:val="17"/>
  </w:num>
  <w:num w:numId="3">
    <w:abstractNumId w:val="1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4"/>
  </w:num>
  <w:num w:numId="7">
    <w:abstractNumId w:val="11"/>
  </w:num>
  <w:num w:numId="8">
    <w:abstractNumId w:val="10"/>
  </w:num>
  <w:num w:numId="9">
    <w:abstractNumId w:val="15"/>
  </w:num>
  <w:num w:numId="10">
    <w:abstractNumId w:val="12"/>
  </w:num>
  <w:num w:numId="11">
    <w:abstractNumId w:val="16"/>
  </w:num>
  <w:num w:numId="12">
    <w:abstractNumId w:val="18"/>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EMM" w:val="0"/>
    <w:docVar w:name="NBEMMDOC" w:val="0"/>
  </w:docVars>
  <w:rsids>
    <w:rsidRoot w:val="00025024"/>
    <w:rsid w:val="000041F8"/>
    <w:rsid w:val="000042A8"/>
    <w:rsid w:val="00004308"/>
    <w:rsid w:val="00005BF0"/>
    <w:rsid w:val="00007154"/>
    <w:rsid w:val="000103AE"/>
    <w:rsid w:val="00011D69"/>
    <w:rsid w:val="00012AD3"/>
    <w:rsid w:val="00015C2D"/>
    <w:rsid w:val="00015F00"/>
    <w:rsid w:val="00022C1D"/>
    <w:rsid w:val="00025024"/>
    <w:rsid w:val="00034987"/>
    <w:rsid w:val="000413E2"/>
    <w:rsid w:val="00051015"/>
    <w:rsid w:val="000602DF"/>
    <w:rsid w:val="00061B05"/>
    <w:rsid w:val="000632D5"/>
    <w:rsid w:val="000644EE"/>
    <w:rsid w:val="00080ECE"/>
    <w:rsid w:val="0009057B"/>
    <w:rsid w:val="000925AD"/>
    <w:rsid w:val="000A20EB"/>
    <w:rsid w:val="000A24EB"/>
    <w:rsid w:val="000B5D17"/>
    <w:rsid w:val="000B6923"/>
    <w:rsid w:val="000C5F3C"/>
    <w:rsid w:val="000C6DCC"/>
    <w:rsid w:val="000D04C2"/>
    <w:rsid w:val="000D47AA"/>
    <w:rsid w:val="000D721F"/>
    <w:rsid w:val="000E069B"/>
    <w:rsid w:val="000E0E82"/>
    <w:rsid w:val="000E1DC5"/>
    <w:rsid w:val="000E223F"/>
    <w:rsid w:val="000E4AC8"/>
    <w:rsid w:val="000E7D45"/>
    <w:rsid w:val="000F1305"/>
    <w:rsid w:val="000F19D8"/>
    <w:rsid w:val="000F7851"/>
    <w:rsid w:val="00104E23"/>
    <w:rsid w:val="00111B0C"/>
    <w:rsid w:val="00117CD2"/>
    <w:rsid w:val="00120D6C"/>
    <w:rsid w:val="001257EC"/>
    <w:rsid w:val="00133D33"/>
    <w:rsid w:val="00134D64"/>
    <w:rsid w:val="00135A30"/>
    <w:rsid w:val="0013612C"/>
    <w:rsid w:val="00137FF6"/>
    <w:rsid w:val="00141650"/>
    <w:rsid w:val="001625AD"/>
    <w:rsid w:val="00162967"/>
    <w:rsid w:val="00162A12"/>
    <w:rsid w:val="00166530"/>
    <w:rsid w:val="00181508"/>
    <w:rsid w:val="001832BD"/>
    <w:rsid w:val="0018370B"/>
    <w:rsid w:val="001943B5"/>
    <w:rsid w:val="00194C5B"/>
    <w:rsid w:val="00195134"/>
    <w:rsid w:val="001A145B"/>
    <w:rsid w:val="001A674C"/>
    <w:rsid w:val="001A68CF"/>
    <w:rsid w:val="001B3B24"/>
    <w:rsid w:val="001B4EF4"/>
    <w:rsid w:val="001C0F98"/>
    <w:rsid w:val="001C2A42"/>
    <w:rsid w:val="001C2B5C"/>
    <w:rsid w:val="001D63ED"/>
    <w:rsid w:val="001D7348"/>
    <w:rsid w:val="001E035B"/>
    <w:rsid w:val="001E0961"/>
    <w:rsid w:val="001E3EAE"/>
    <w:rsid w:val="001E6F32"/>
    <w:rsid w:val="001F2145"/>
    <w:rsid w:val="001F39F4"/>
    <w:rsid w:val="001F6262"/>
    <w:rsid w:val="001F67B0"/>
    <w:rsid w:val="001F7B3D"/>
    <w:rsid w:val="00204F24"/>
    <w:rsid w:val="00205F9F"/>
    <w:rsid w:val="00210338"/>
    <w:rsid w:val="002115FC"/>
    <w:rsid w:val="00212184"/>
    <w:rsid w:val="0021423C"/>
    <w:rsid w:val="00230D00"/>
    <w:rsid w:val="00231364"/>
    <w:rsid w:val="00231DF7"/>
    <w:rsid w:val="00231FD1"/>
    <w:rsid w:val="002339E0"/>
    <w:rsid w:val="00233CF8"/>
    <w:rsid w:val="0023575D"/>
    <w:rsid w:val="00237148"/>
    <w:rsid w:val="0024222D"/>
    <w:rsid w:val="00244B0E"/>
    <w:rsid w:val="00244F6C"/>
    <w:rsid w:val="002532C5"/>
    <w:rsid w:val="002546AE"/>
    <w:rsid w:val="00256F45"/>
    <w:rsid w:val="00260C03"/>
    <w:rsid w:val="0026540E"/>
    <w:rsid w:val="00274386"/>
    <w:rsid w:val="00275123"/>
    <w:rsid w:val="00282240"/>
    <w:rsid w:val="002948AD"/>
    <w:rsid w:val="0029739C"/>
    <w:rsid w:val="002A01CC"/>
    <w:rsid w:val="002A61B1"/>
    <w:rsid w:val="002A663C"/>
    <w:rsid w:val="002B444B"/>
    <w:rsid w:val="002B5887"/>
    <w:rsid w:val="002B7E83"/>
    <w:rsid w:val="002C0E27"/>
    <w:rsid w:val="002C3040"/>
    <w:rsid w:val="002D022D"/>
    <w:rsid w:val="002D24BB"/>
    <w:rsid w:val="002F29AA"/>
    <w:rsid w:val="002F2AF7"/>
    <w:rsid w:val="002F7E1C"/>
    <w:rsid w:val="00301A75"/>
    <w:rsid w:val="00302F70"/>
    <w:rsid w:val="0030336F"/>
    <w:rsid w:val="0030375E"/>
    <w:rsid w:val="0030660C"/>
    <w:rsid w:val="00312A30"/>
    <w:rsid w:val="00316323"/>
    <w:rsid w:val="00320F72"/>
    <w:rsid w:val="0032463E"/>
    <w:rsid w:val="00326224"/>
    <w:rsid w:val="00337EE4"/>
    <w:rsid w:val="00340FFD"/>
    <w:rsid w:val="003506B1"/>
    <w:rsid w:val="00356AC7"/>
    <w:rsid w:val="003609FA"/>
    <w:rsid w:val="00361D45"/>
    <w:rsid w:val="00367B4F"/>
    <w:rsid w:val="003710C8"/>
    <w:rsid w:val="003722CE"/>
    <w:rsid w:val="003750BE"/>
    <w:rsid w:val="00376779"/>
    <w:rsid w:val="00387B9D"/>
    <w:rsid w:val="0039364F"/>
    <w:rsid w:val="00396686"/>
    <w:rsid w:val="0039778E"/>
    <w:rsid w:val="003A37B8"/>
    <w:rsid w:val="003B4941"/>
    <w:rsid w:val="003B6A2E"/>
    <w:rsid w:val="003C5714"/>
    <w:rsid w:val="003C6B9F"/>
    <w:rsid w:val="003C6E2A"/>
    <w:rsid w:val="003D0299"/>
    <w:rsid w:val="003D32BE"/>
    <w:rsid w:val="003E3FE3"/>
    <w:rsid w:val="003E6D80"/>
    <w:rsid w:val="003E7A9C"/>
    <w:rsid w:val="003F05FA"/>
    <w:rsid w:val="003F244A"/>
    <w:rsid w:val="003F30B8"/>
    <w:rsid w:val="003F4C45"/>
    <w:rsid w:val="003F5F7B"/>
    <w:rsid w:val="003F7D64"/>
    <w:rsid w:val="00401F7D"/>
    <w:rsid w:val="0041177B"/>
    <w:rsid w:val="00414300"/>
    <w:rsid w:val="00425C67"/>
    <w:rsid w:val="00427E7A"/>
    <w:rsid w:val="00431C07"/>
    <w:rsid w:val="004344E6"/>
    <w:rsid w:val="00436C49"/>
    <w:rsid w:val="00445366"/>
    <w:rsid w:val="00447F5B"/>
    <w:rsid w:val="00456549"/>
    <w:rsid w:val="004604A0"/>
    <w:rsid w:val="00461DB0"/>
    <w:rsid w:val="00463926"/>
    <w:rsid w:val="00464C9A"/>
    <w:rsid w:val="00474F3D"/>
    <w:rsid w:val="00477E3A"/>
    <w:rsid w:val="00483E5F"/>
    <w:rsid w:val="00485FF9"/>
    <w:rsid w:val="004907F0"/>
    <w:rsid w:val="0049140B"/>
    <w:rsid w:val="004923A5"/>
    <w:rsid w:val="00496197"/>
    <w:rsid w:val="00496BFB"/>
    <w:rsid w:val="004A15C7"/>
    <w:rsid w:val="004B013B"/>
    <w:rsid w:val="004B112B"/>
    <w:rsid w:val="004C01E4"/>
    <w:rsid w:val="004C086C"/>
    <w:rsid w:val="004C1A3F"/>
    <w:rsid w:val="004C1F56"/>
    <w:rsid w:val="004C27BC"/>
    <w:rsid w:val="004D15F3"/>
    <w:rsid w:val="004D5311"/>
    <w:rsid w:val="004D5DCC"/>
    <w:rsid w:val="004E22F1"/>
    <w:rsid w:val="004F10AF"/>
    <w:rsid w:val="004F11A4"/>
    <w:rsid w:val="004F2389"/>
    <w:rsid w:val="004F304D"/>
    <w:rsid w:val="004F61BE"/>
    <w:rsid w:val="004F66B1"/>
    <w:rsid w:val="00511C07"/>
    <w:rsid w:val="00516B59"/>
    <w:rsid w:val="005173A6"/>
    <w:rsid w:val="00520BAA"/>
    <w:rsid w:val="00522ABA"/>
    <w:rsid w:val="00525208"/>
    <w:rsid w:val="005257A5"/>
    <w:rsid w:val="005264C0"/>
    <w:rsid w:val="00526A8A"/>
    <w:rsid w:val="00531DF2"/>
    <w:rsid w:val="005442EE"/>
    <w:rsid w:val="00547353"/>
    <w:rsid w:val="005474E7"/>
    <w:rsid w:val="005512A3"/>
    <w:rsid w:val="005578CE"/>
    <w:rsid w:val="00562781"/>
    <w:rsid w:val="00566E2B"/>
    <w:rsid w:val="0057271C"/>
    <w:rsid w:val="00572845"/>
    <w:rsid w:val="00576986"/>
    <w:rsid w:val="00592772"/>
    <w:rsid w:val="00592C8D"/>
    <w:rsid w:val="0059574A"/>
    <w:rsid w:val="005A1B9B"/>
    <w:rsid w:val="005A6751"/>
    <w:rsid w:val="005B092E"/>
    <w:rsid w:val="005B152C"/>
    <w:rsid w:val="005B1EE0"/>
    <w:rsid w:val="005B2B24"/>
    <w:rsid w:val="005B4425"/>
    <w:rsid w:val="005B4B94"/>
    <w:rsid w:val="005C353F"/>
    <w:rsid w:val="005C3EE8"/>
    <w:rsid w:val="005D34F9"/>
    <w:rsid w:val="005D4190"/>
    <w:rsid w:val="005D67A3"/>
    <w:rsid w:val="005E2988"/>
    <w:rsid w:val="005E3085"/>
    <w:rsid w:val="005F51E1"/>
    <w:rsid w:val="00611C80"/>
    <w:rsid w:val="00613B21"/>
    <w:rsid w:val="00620692"/>
    <w:rsid w:val="006242CA"/>
    <w:rsid w:val="00627507"/>
    <w:rsid w:val="00633717"/>
    <w:rsid w:val="006344E1"/>
    <w:rsid w:val="006361FD"/>
    <w:rsid w:val="006545C4"/>
    <w:rsid w:val="00661971"/>
    <w:rsid w:val="00661CE8"/>
    <w:rsid w:val="006623D9"/>
    <w:rsid w:val="00662882"/>
    <w:rsid w:val="0066550C"/>
    <w:rsid w:val="006716F2"/>
    <w:rsid w:val="00682BF2"/>
    <w:rsid w:val="006859CE"/>
    <w:rsid w:val="00691270"/>
    <w:rsid w:val="00694BA8"/>
    <w:rsid w:val="006A037C"/>
    <w:rsid w:val="006A36F4"/>
    <w:rsid w:val="006A406F"/>
    <w:rsid w:val="006A5D3A"/>
    <w:rsid w:val="006C23D4"/>
    <w:rsid w:val="006C475E"/>
    <w:rsid w:val="006C7BB0"/>
    <w:rsid w:val="006D3237"/>
    <w:rsid w:val="006E2E37"/>
    <w:rsid w:val="006E3CF1"/>
    <w:rsid w:val="006E7E80"/>
    <w:rsid w:val="006F48CA"/>
    <w:rsid w:val="006F64DD"/>
    <w:rsid w:val="00715127"/>
    <w:rsid w:val="00715E8E"/>
    <w:rsid w:val="007172B0"/>
    <w:rsid w:val="00723580"/>
    <w:rsid w:val="00723755"/>
    <w:rsid w:val="00724AE2"/>
    <w:rsid w:val="0073136C"/>
    <w:rsid w:val="00731F0F"/>
    <w:rsid w:val="00733250"/>
    <w:rsid w:val="00735951"/>
    <w:rsid w:val="00741404"/>
    <w:rsid w:val="0074380E"/>
    <w:rsid w:val="007449E5"/>
    <w:rsid w:val="00747FF0"/>
    <w:rsid w:val="007612E2"/>
    <w:rsid w:val="00764D4E"/>
    <w:rsid w:val="00765A1F"/>
    <w:rsid w:val="00775B6D"/>
    <w:rsid w:val="00776D68"/>
    <w:rsid w:val="007850EE"/>
    <w:rsid w:val="00785B95"/>
    <w:rsid w:val="00790AAD"/>
    <w:rsid w:val="00790E96"/>
    <w:rsid w:val="00793366"/>
    <w:rsid w:val="007971FF"/>
    <w:rsid w:val="007A4070"/>
    <w:rsid w:val="007A716F"/>
    <w:rsid w:val="007B270A"/>
    <w:rsid w:val="007C0695"/>
    <w:rsid w:val="007C419A"/>
    <w:rsid w:val="007C4CC8"/>
    <w:rsid w:val="007C5426"/>
    <w:rsid w:val="007C5798"/>
    <w:rsid w:val="007C6AA1"/>
    <w:rsid w:val="007D4832"/>
    <w:rsid w:val="007E21B2"/>
    <w:rsid w:val="007E2C4E"/>
    <w:rsid w:val="007F1905"/>
    <w:rsid w:val="00801300"/>
    <w:rsid w:val="00802C64"/>
    <w:rsid w:val="0080523A"/>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3D9C"/>
    <w:rsid w:val="008748BE"/>
    <w:rsid w:val="008754AB"/>
    <w:rsid w:val="00876A02"/>
    <w:rsid w:val="00876F03"/>
    <w:rsid w:val="0088060C"/>
    <w:rsid w:val="00891107"/>
    <w:rsid w:val="00893576"/>
    <w:rsid w:val="00893E73"/>
    <w:rsid w:val="00893F30"/>
    <w:rsid w:val="00895F5B"/>
    <w:rsid w:val="008A372E"/>
    <w:rsid w:val="008B02DC"/>
    <w:rsid w:val="008B2698"/>
    <w:rsid w:val="008B57CE"/>
    <w:rsid w:val="008C26DE"/>
    <w:rsid w:val="008D2225"/>
    <w:rsid w:val="008D4752"/>
    <w:rsid w:val="008E271C"/>
    <w:rsid w:val="008E418E"/>
    <w:rsid w:val="008E5BC6"/>
    <w:rsid w:val="008E6A25"/>
    <w:rsid w:val="008E7A1B"/>
    <w:rsid w:val="008F5193"/>
    <w:rsid w:val="009013A7"/>
    <w:rsid w:val="009017FB"/>
    <w:rsid w:val="009017FC"/>
    <w:rsid w:val="009020E3"/>
    <w:rsid w:val="00902601"/>
    <w:rsid w:val="0090506B"/>
    <w:rsid w:val="009050C9"/>
    <w:rsid w:val="009066FC"/>
    <w:rsid w:val="009140A3"/>
    <w:rsid w:val="009144A2"/>
    <w:rsid w:val="0091510C"/>
    <w:rsid w:val="009259AC"/>
    <w:rsid w:val="00926F38"/>
    <w:rsid w:val="00934301"/>
    <w:rsid w:val="00936CD1"/>
    <w:rsid w:val="009375A5"/>
    <w:rsid w:val="00941747"/>
    <w:rsid w:val="00941EFB"/>
    <w:rsid w:val="00947AFB"/>
    <w:rsid w:val="00951D7D"/>
    <w:rsid w:val="00954AD6"/>
    <w:rsid w:val="009630C7"/>
    <w:rsid w:val="00972B55"/>
    <w:rsid w:val="009743B7"/>
    <w:rsid w:val="00975039"/>
    <w:rsid w:val="00977227"/>
    <w:rsid w:val="0098228B"/>
    <w:rsid w:val="009828DA"/>
    <w:rsid w:val="00985BAB"/>
    <w:rsid w:val="009B1B5F"/>
    <w:rsid w:val="009B6673"/>
    <w:rsid w:val="009C191B"/>
    <w:rsid w:val="009C2BD6"/>
    <w:rsid w:val="009D2F52"/>
    <w:rsid w:val="009E16D2"/>
    <w:rsid w:val="009E1F32"/>
    <w:rsid w:val="009E776C"/>
    <w:rsid w:val="00A00672"/>
    <w:rsid w:val="00A132AD"/>
    <w:rsid w:val="00A1726E"/>
    <w:rsid w:val="00A204CF"/>
    <w:rsid w:val="00A21624"/>
    <w:rsid w:val="00A23D49"/>
    <w:rsid w:val="00A27004"/>
    <w:rsid w:val="00A30C29"/>
    <w:rsid w:val="00A34DD6"/>
    <w:rsid w:val="00A36819"/>
    <w:rsid w:val="00A36989"/>
    <w:rsid w:val="00A43628"/>
    <w:rsid w:val="00A43AA3"/>
    <w:rsid w:val="00A4783F"/>
    <w:rsid w:val="00A54192"/>
    <w:rsid w:val="00A6035E"/>
    <w:rsid w:val="00A6144C"/>
    <w:rsid w:val="00A66617"/>
    <w:rsid w:val="00A671F8"/>
    <w:rsid w:val="00A673A4"/>
    <w:rsid w:val="00A724AE"/>
    <w:rsid w:val="00A73329"/>
    <w:rsid w:val="00A75785"/>
    <w:rsid w:val="00A82359"/>
    <w:rsid w:val="00A865D2"/>
    <w:rsid w:val="00A94C20"/>
    <w:rsid w:val="00AA227F"/>
    <w:rsid w:val="00AA3BC7"/>
    <w:rsid w:val="00AA754A"/>
    <w:rsid w:val="00AB099E"/>
    <w:rsid w:val="00AB4328"/>
    <w:rsid w:val="00AB5628"/>
    <w:rsid w:val="00AC00C2"/>
    <w:rsid w:val="00AC5872"/>
    <w:rsid w:val="00AE0A2E"/>
    <w:rsid w:val="00AE354C"/>
    <w:rsid w:val="00AF4B07"/>
    <w:rsid w:val="00AF6186"/>
    <w:rsid w:val="00AF7A3A"/>
    <w:rsid w:val="00B009F4"/>
    <w:rsid w:val="00B160DB"/>
    <w:rsid w:val="00B20836"/>
    <w:rsid w:val="00B235BB"/>
    <w:rsid w:val="00B25320"/>
    <w:rsid w:val="00B25943"/>
    <w:rsid w:val="00B25D3B"/>
    <w:rsid w:val="00B27A44"/>
    <w:rsid w:val="00B30BBF"/>
    <w:rsid w:val="00B33C03"/>
    <w:rsid w:val="00B44E56"/>
    <w:rsid w:val="00B46543"/>
    <w:rsid w:val="00B47D33"/>
    <w:rsid w:val="00B52BE0"/>
    <w:rsid w:val="00B54133"/>
    <w:rsid w:val="00B701ED"/>
    <w:rsid w:val="00B751F4"/>
    <w:rsid w:val="00B8086C"/>
    <w:rsid w:val="00B840F7"/>
    <w:rsid w:val="00B861B4"/>
    <w:rsid w:val="00B86DFE"/>
    <w:rsid w:val="00B90990"/>
    <w:rsid w:val="00B922FF"/>
    <w:rsid w:val="00B9281E"/>
    <w:rsid w:val="00B93925"/>
    <w:rsid w:val="00B95187"/>
    <w:rsid w:val="00BA2D55"/>
    <w:rsid w:val="00BA71B1"/>
    <w:rsid w:val="00BB0637"/>
    <w:rsid w:val="00BB345F"/>
    <w:rsid w:val="00BB68EA"/>
    <w:rsid w:val="00BC1C27"/>
    <w:rsid w:val="00BC1F03"/>
    <w:rsid w:val="00BC6BBF"/>
    <w:rsid w:val="00BD1572"/>
    <w:rsid w:val="00BE14E3"/>
    <w:rsid w:val="00BE3774"/>
    <w:rsid w:val="00BE41E5"/>
    <w:rsid w:val="00BF4109"/>
    <w:rsid w:val="00BF4CC3"/>
    <w:rsid w:val="00C00E59"/>
    <w:rsid w:val="00C054C7"/>
    <w:rsid w:val="00C057B5"/>
    <w:rsid w:val="00C149F0"/>
    <w:rsid w:val="00C22687"/>
    <w:rsid w:val="00C25983"/>
    <w:rsid w:val="00C32E4D"/>
    <w:rsid w:val="00C333A0"/>
    <w:rsid w:val="00C36408"/>
    <w:rsid w:val="00C36A81"/>
    <w:rsid w:val="00C41974"/>
    <w:rsid w:val="00C45616"/>
    <w:rsid w:val="00C53F4A"/>
    <w:rsid w:val="00C54125"/>
    <w:rsid w:val="00C55B54"/>
    <w:rsid w:val="00C6098E"/>
    <w:rsid w:val="00C6152C"/>
    <w:rsid w:val="00C74810"/>
    <w:rsid w:val="00C81ACF"/>
    <w:rsid w:val="00C90D68"/>
    <w:rsid w:val="00C939FE"/>
    <w:rsid w:val="00CA4BDA"/>
    <w:rsid w:val="00CA7C61"/>
    <w:rsid w:val="00CB1F66"/>
    <w:rsid w:val="00CB2951"/>
    <w:rsid w:val="00CD282B"/>
    <w:rsid w:val="00CD4C35"/>
    <w:rsid w:val="00CD7369"/>
    <w:rsid w:val="00CE0B0E"/>
    <w:rsid w:val="00CE3831"/>
    <w:rsid w:val="00D00ABB"/>
    <w:rsid w:val="00D02781"/>
    <w:rsid w:val="00D02EEC"/>
    <w:rsid w:val="00D03551"/>
    <w:rsid w:val="00D06A63"/>
    <w:rsid w:val="00D07E0E"/>
    <w:rsid w:val="00D11478"/>
    <w:rsid w:val="00D15ED0"/>
    <w:rsid w:val="00D21B3E"/>
    <w:rsid w:val="00D21C26"/>
    <w:rsid w:val="00D21FED"/>
    <w:rsid w:val="00D24251"/>
    <w:rsid w:val="00D343E2"/>
    <w:rsid w:val="00D361A2"/>
    <w:rsid w:val="00D44C2E"/>
    <w:rsid w:val="00D45414"/>
    <w:rsid w:val="00D54FF1"/>
    <w:rsid w:val="00D55E2C"/>
    <w:rsid w:val="00D566BD"/>
    <w:rsid w:val="00D57A4D"/>
    <w:rsid w:val="00D60AA7"/>
    <w:rsid w:val="00D62A67"/>
    <w:rsid w:val="00D6435F"/>
    <w:rsid w:val="00D75E28"/>
    <w:rsid w:val="00D772C2"/>
    <w:rsid w:val="00D8008E"/>
    <w:rsid w:val="00D82C45"/>
    <w:rsid w:val="00D908A8"/>
    <w:rsid w:val="00D931D5"/>
    <w:rsid w:val="00D977B6"/>
    <w:rsid w:val="00DA3634"/>
    <w:rsid w:val="00DA4A31"/>
    <w:rsid w:val="00DA7B04"/>
    <w:rsid w:val="00DB36C2"/>
    <w:rsid w:val="00DB378D"/>
    <w:rsid w:val="00DB5CBD"/>
    <w:rsid w:val="00DC169B"/>
    <w:rsid w:val="00DC2AB9"/>
    <w:rsid w:val="00DC63F0"/>
    <w:rsid w:val="00DD5382"/>
    <w:rsid w:val="00DD6EE5"/>
    <w:rsid w:val="00DE2362"/>
    <w:rsid w:val="00DE386C"/>
    <w:rsid w:val="00DE4D35"/>
    <w:rsid w:val="00DF098B"/>
    <w:rsid w:val="00DF11C4"/>
    <w:rsid w:val="00DF210C"/>
    <w:rsid w:val="00DF4B6A"/>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90302"/>
    <w:rsid w:val="00E97396"/>
    <w:rsid w:val="00EA185E"/>
    <w:rsid w:val="00EA592A"/>
    <w:rsid w:val="00EB14E4"/>
    <w:rsid w:val="00EB182B"/>
    <w:rsid w:val="00EB32A5"/>
    <w:rsid w:val="00EB34ED"/>
    <w:rsid w:val="00EB4A37"/>
    <w:rsid w:val="00EB7BE0"/>
    <w:rsid w:val="00EC315E"/>
    <w:rsid w:val="00EC58D1"/>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27D13"/>
    <w:rsid w:val="00F32269"/>
    <w:rsid w:val="00F56A6F"/>
    <w:rsid w:val="00F5709C"/>
    <w:rsid w:val="00F626DA"/>
    <w:rsid w:val="00F64EF1"/>
    <w:rsid w:val="00F659F3"/>
    <w:rsid w:val="00F83589"/>
    <w:rsid w:val="00F8765F"/>
    <w:rsid w:val="00F90767"/>
    <w:rsid w:val="00F912E4"/>
    <w:rsid w:val="00F94531"/>
    <w:rsid w:val="00F9588E"/>
    <w:rsid w:val="00FA685B"/>
    <w:rsid w:val="00FB0C01"/>
    <w:rsid w:val="00FC18F2"/>
    <w:rsid w:val="00FC39E5"/>
    <w:rsid w:val="00FC3A78"/>
    <w:rsid w:val="00FD1005"/>
    <w:rsid w:val="00FD61AA"/>
    <w:rsid w:val="00FD6C75"/>
    <w:rsid w:val="00FD7649"/>
    <w:rsid w:val="00FE57EF"/>
    <w:rsid w:val="00FE71B3"/>
    <w:rsid w:val="00FF1869"/>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74380E"/>
    <w:rPr>
      <w:sz w:val="24"/>
      <w:szCs w:val="24"/>
      <w:lang w:val="fr-FR"/>
    </w:rPr>
  </w:style>
  <w:style w:type="paragraph" w:styleId="Titolo1">
    <w:name w:val="heading 1"/>
    <w:basedOn w:val="Normale"/>
    <w:next w:val="Normale"/>
    <w:link w:val="Titolo1Carattere"/>
    <w:uiPriority w:val="98"/>
    <w:semiHidden/>
    <w:rsid w:val="0074380E"/>
    <w:pPr>
      <w:spacing w:before="480"/>
      <w:contextualSpacing/>
      <w:outlineLvl w:val="0"/>
    </w:pPr>
    <w:rPr>
      <w:rFonts w:asciiTheme="majorHAnsi" w:eastAsiaTheme="majorEastAsia" w:hAnsiTheme="majorHAnsi" w:cstheme="majorBidi"/>
      <w:b/>
      <w:bCs/>
      <w:color w:val="333333"/>
      <w:sz w:val="28"/>
      <w:szCs w:val="28"/>
      <w:lang w:val="en-GB"/>
    </w:rPr>
  </w:style>
  <w:style w:type="paragraph" w:styleId="Titolo2">
    <w:name w:val="heading 2"/>
    <w:basedOn w:val="Normale"/>
    <w:next w:val="Normale"/>
    <w:link w:val="Titolo2Carattere"/>
    <w:uiPriority w:val="98"/>
    <w:semiHidden/>
    <w:rsid w:val="0074380E"/>
    <w:pPr>
      <w:spacing w:before="200"/>
      <w:outlineLvl w:val="1"/>
    </w:pPr>
    <w:rPr>
      <w:rFonts w:asciiTheme="majorHAnsi" w:eastAsiaTheme="majorEastAsia" w:hAnsiTheme="majorHAnsi" w:cstheme="majorBidi"/>
      <w:b/>
      <w:bCs/>
      <w:color w:val="4D4D4D"/>
      <w:sz w:val="26"/>
      <w:szCs w:val="26"/>
      <w:lang w:val="en-GB"/>
    </w:rPr>
  </w:style>
  <w:style w:type="paragraph" w:styleId="Titolo3">
    <w:name w:val="heading 3"/>
    <w:basedOn w:val="Normale"/>
    <w:next w:val="Normale"/>
    <w:link w:val="Titolo3Carattere"/>
    <w:uiPriority w:val="98"/>
    <w:semiHidden/>
    <w:rsid w:val="0074380E"/>
    <w:pPr>
      <w:spacing w:before="200" w:line="271" w:lineRule="auto"/>
      <w:outlineLvl w:val="2"/>
    </w:pPr>
    <w:rPr>
      <w:rFonts w:asciiTheme="majorHAnsi" w:eastAsiaTheme="majorEastAsia" w:hAnsiTheme="majorHAnsi" w:cstheme="majorBidi"/>
      <w:b/>
      <w:bCs/>
      <w:color w:val="5F5F5F"/>
      <w:sz w:val="22"/>
      <w:szCs w:val="22"/>
      <w:lang w:val="en-GB"/>
    </w:rPr>
  </w:style>
  <w:style w:type="paragraph" w:styleId="Titolo4">
    <w:name w:val="heading 4"/>
    <w:basedOn w:val="Normale"/>
    <w:next w:val="Normale"/>
    <w:link w:val="Titolo4Carattere"/>
    <w:uiPriority w:val="98"/>
    <w:semiHidden/>
    <w:rsid w:val="0074380E"/>
    <w:pPr>
      <w:spacing w:before="200"/>
      <w:outlineLvl w:val="3"/>
    </w:pPr>
    <w:rPr>
      <w:rFonts w:asciiTheme="majorHAnsi" w:eastAsiaTheme="majorEastAsia" w:hAnsiTheme="majorHAnsi" w:cstheme="majorBidi"/>
      <w:b/>
      <w:bCs/>
      <w:i/>
      <w:iCs/>
      <w:color w:val="777777"/>
      <w:sz w:val="22"/>
      <w:szCs w:val="22"/>
      <w:lang w:val="en-GB"/>
    </w:rPr>
  </w:style>
  <w:style w:type="paragraph" w:styleId="Titolo5">
    <w:name w:val="heading 5"/>
    <w:basedOn w:val="Normale"/>
    <w:next w:val="Normale"/>
    <w:link w:val="Titolo5Carattere"/>
    <w:uiPriority w:val="98"/>
    <w:semiHidden/>
    <w:qFormat/>
    <w:rsid w:val="0074380E"/>
    <w:pPr>
      <w:spacing w:before="200"/>
      <w:outlineLvl w:val="4"/>
    </w:pPr>
    <w:rPr>
      <w:rFonts w:asciiTheme="majorHAnsi" w:eastAsiaTheme="majorEastAsia" w:hAnsiTheme="majorHAnsi" w:cstheme="majorBidi"/>
      <w:b/>
      <w:bCs/>
      <w:color w:val="808080"/>
      <w:sz w:val="22"/>
      <w:szCs w:val="22"/>
      <w:lang w:val="en-GB"/>
    </w:rPr>
  </w:style>
  <w:style w:type="paragraph" w:styleId="Titolo6">
    <w:name w:val="heading 6"/>
    <w:basedOn w:val="Normale"/>
    <w:next w:val="Normale"/>
    <w:link w:val="Titolo6Carattere"/>
    <w:uiPriority w:val="98"/>
    <w:semiHidden/>
    <w:rsid w:val="0074380E"/>
    <w:pPr>
      <w:spacing w:line="271" w:lineRule="auto"/>
      <w:outlineLvl w:val="5"/>
    </w:pPr>
    <w:rPr>
      <w:rFonts w:asciiTheme="majorHAnsi" w:eastAsiaTheme="majorEastAsia" w:hAnsiTheme="majorHAnsi" w:cstheme="majorBidi"/>
      <w:b/>
      <w:bCs/>
      <w:i/>
      <w:iCs/>
      <w:color w:val="7F7F7F" w:themeColor="text1" w:themeTint="80"/>
      <w:sz w:val="22"/>
      <w:szCs w:val="22"/>
      <w:lang w:val="en-GB" w:bidi="en-US"/>
    </w:rPr>
  </w:style>
  <w:style w:type="paragraph" w:styleId="Titolo7">
    <w:name w:val="heading 7"/>
    <w:basedOn w:val="Normale"/>
    <w:next w:val="Normale"/>
    <w:link w:val="Titolo7Carattere"/>
    <w:uiPriority w:val="98"/>
    <w:semiHidden/>
    <w:qFormat/>
    <w:rsid w:val="0074380E"/>
    <w:pPr>
      <w:outlineLvl w:val="6"/>
    </w:pPr>
    <w:rPr>
      <w:rFonts w:asciiTheme="majorHAnsi" w:eastAsiaTheme="majorEastAsia" w:hAnsiTheme="majorHAnsi" w:cstheme="majorBidi"/>
      <w:i/>
      <w:iCs/>
      <w:sz w:val="22"/>
      <w:szCs w:val="22"/>
      <w:lang w:val="en-GB" w:bidi="en-US"/>
    </w:rPr>
  </w:style>
  <w:style w:type="paragraph" w:styleId="Titolo8">
    <w:name w:val="heading 8"/>
    <w:basedOn w:val="Normale"/>
    <w:next w:val="Normale"/>
    <w:link w:val="Titolo8Carattere"/>
    <w:uiPriority w:val="98"/>
    <w:semiHidden/>
    <w:qFormat/>
    <w:rsid w:val="0074380E"/>
    <w:pPr>
      <w:outlineLvl w:val="7"/>
    </w:pPr>
    <w:rPr>
      <w:rFonts w:asciiTheme="majorHAnsi" w:eastAsiaTheme="majorEastAsia" w:hAnsiTheme="majorHAnsi" w:cstheme="majorBidi"/>
      <w:sz w:val="20"/>
      <w:szCs w:val="20"/>
      <w:lang w:val="en-GB" w:bidi="en-US"/>
    </w:rPr>
  </w:style>
  <w:style w:type="paragraph" w:styleId="Titolo9">
    <w:name w:val="heading 9"/>
    <w:basedOn w:val="Normale"/>
    <w:next w:val="Normale"/>
    <w:link w:val="Titolo9Carattere"/>
    <w:uiPriority w:val="98"/>
    <w:semiHidden/>
    <w:qFormat/>
    <w:rsid w:val="0074380E"/>
    <w:pPr>
      <w:outlineLvl w:val="8"/>
    </w:pPr>
    <w:rPr>
      <w:rFonts w:asciiTheme="majorHAnsi" w:eastAsiaTheme="majorEastAsia" w:hAnsiTheme="majorHAnsi" w:cstheme="majorBidi"/>
      <w:i/>
      <w:iCs/>
      <w:spacing w:val="5"/>
      <w:sz w:val="20"/>
      <w:szCs w:val="20"/>
      <w:lang w:val="en-GB"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74380E"/>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74380E"/>
    <w:rPr>
      <w:rFonts w:ascii="Tahoma" w:hAnsi="Tahoma" w:cs="Tahoma"/>
      <w:sz w:val="16"/>
      <w:szCs w:val="16"/>
      <w:lang w:val="fr-FR"/>
    </w:rPr>
  </w:style>
  <w:style w:type="character" w:styleId="Titolodellibro">
    <w:name w:val="Book Title"/>
    <w:uiPriority w:val="98"/>
    <w:semiHidden/>
    <w:qFormat/>
    <w:rsid w:val="0074380E"/>
    <w:rPr>
      <w:i/>
      <w:iCs/>
      <w:smallCaps/>
      <w:spacing w:val="5"/>
    </w:rPr>
  </w:style>
  <w:style w:type="paragraph" w:customStyle="1" w:styleId="JuHeader">
    <w:name w:val="Ju_Header"/>
    <w:aliases w:val="_Header"/>
    <w:basedOn w:val="Intestazione"/>
    <w:uiPriority w:val="29"/>
    <w:qFormat/>
    <w:rsid w:val="0074380E"/>
    <w:pPr>
      <w:tabs>
        <w:tab w:val="clear" w:pos="4536"/>
        <w:tab w:val="clear" w:pos="9072"/>
      </w:tabs>
      <w:jc w:val="center"/>
    </w:pPr>
    <w:rPr>
      <w:sz w:val="18"/>
    </w:rPr>
  </w:style>
  <w:style w:type="paragraph" w:customStyle="1" w:styleId="DecList">
    <w:name w:val="Dec_List"/>
    <w:aliases w:val="_List"/>
    <w:basedOn w:val="JuList"/>
    <w:uiPriority w:val="22"/>
    <w:rsid w:val="0074380E"/>
    <w:pPr>
      <w:numPr>
        <w:numId w:val="0"/>
      </w:numPr>
      <w:ind w:left="284"/>
    </w:pPr>
  </w:style>
  <w:style w:type="character" w:styleId="Enfasigrassetto">
    <w:name w:val="Strong"/>
    <w:uiPriority w:val="98"/>
    <w:semiHidden/>
    <w:qFormat/>
    <w:rsid w:val="0074380E"/>
    <w:rPr>
      <w:b/>
      <w:bCs/>
    </w:rPr>
  </w:style>
  <w:style w:type="paragraph" w:styleId="Nessunaspaziatura">
    <w:name w:val="No Spacing"/>
    <w:basedOn w:val="Normale"/>
    <w:link w:val="NessunaspaziaturaCarattere"/>
    <w:uiPriority w:val="98"/>
    <w:semiHidden/>
    <w:qFormat/>
    <w:rsid w:val="0074380E"/>
  </w:style>
  <w:style w:type="character" w:customStyle="1" w:styleId="NessunaspaziaturaCarattere">
    <w:name w:val="Nessuna spaziatura Carattere"/>
    <w:basedOn w:val="Carpredefinitoparagrafo"/>
    <w:link w:val="Nessunaspaziatura"/>
    <w:uiPriority w:val="98"/>
    <w:semiHidden/>
    <w:rsid w:val="0074380E"/>
    <w:rPr>
      <w:sz w:val="24"/>
      <w:szCs w:val="24"/>
      <w:lang w:val="fr-FR"/>
    </w:rPr>
  </w:style>
  <w:style w:type="paragraph" w:customStyle="1" w:styleId="JuQuot">
    <w:name w:val="Ju_Quot"/>
    <w:aliases w:val="_Quote"/>
    <w:basedOn w:val="NormalJustified"/>
    <w:uiPriority w:val="20"/>
    <w:qFormat/>
    <w:rsid w:val="0074380E"/>
    <w:pPr>
      <w:spacing w:before="120" w:after="120"/>
      <w:ind w:left="425" w:firstLine="142"/>
    </w:pPr>
    <w:rPr>
      <w:sz w:val="20"/>
    </w:rPr>
  </w:style>
  <w:style w:type="paragraph" w:customStyle="1" w:styleId="JuList">
    <w:name w:val="Ju_List"/>
    <w:aliases w:val="_List_1"/>
    <w:basedOn w:val="NormalJustified"/>
    <w:uiPriority w:val="23"/>
    <w:qFormat/>
    <w:rsid w:val="0074380E"/>
    <w:pPr>
      <w:numPr>
        <w:numId w:val="10"/>
      </w:numPr>
      <w:spacing w:before="280" w:after="60"/>
    </w:pPr>
  </w:style>
  <w:style w:type="paragraph" w:customStyle="1" w:styleId="JuLista">
    <w:name w:val="Ju_List_a"/>
    <w:aliases w:val="_List_2"/>
    <w:basedOn w:val="NormalJustified"/>
    <w:uiPriority w:val="23"/>
    <w:rsid w:val="0074380E"/>
    <w:pPr>
      <w:numPr>
        <w:ilvl w:val="1"/>
        <w:numId w:val="10"/>
      </w:numPr>
    </w:pPr>
  </w:style>
  <w:style w:type="paragraph" w:customStyle="1" w:styleId="JuListi">
    <w:name w:val="Ju_List_i"/>
    <w:aliases w:val="_List_3"/>
    <w:basedOn w:val="NormalJustified"/>
    <w:uiPriority w:val="23"/>
    <w:rsid w:val="0074380E"/>
    <w:pPr>
      <w:numPr>
        <w:ilvl w:val="2"/>
        <w:numId w:val="10"/>
      </w:numPr>
    </w:pPr>
  </w:style>
  <w:style w:type="paragraph" w:customStyle="1" w:styleId="DecHTitle">
    <w:name w:val="Dec_H_Title"/>
    <w:aliases w:val="_Title_1"/>
    <w:basedOn w:val="JuPara"/>
    <w:next w:val="JuPara"/>
    <w:uiPriority w:val="38"/>
    <w:qFormat/>
    <w:rsid w:val="0074380E"/>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e"/>
    <w:next w:val="JuQuot"/>
    <w:uiPriority w:val="19"/>
    <w:qFormat/>
    <w:rsid w:val="0074380E"/>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74380E"/>
    <w:pPr>
      <w:keepNext/>
      <w:keepLines/>
      <w:tabs>
        <w:tab w:val="right" w:pos="7938"/>
      </w:tabs>
      <w:ind w:firstLine="0"/>
      <w:jc w:val="center"/>
    </w:pPr>
    <w:rPr>
      <w:i/>
    </w:rPr>
  </w:style>
  <w:style w:type="numbering" w:customStyle="1" w:styleId="ECHRA1StyleBulletedSquare">
    <w:name w:val="ECHR_A1_Style_Bulleted_Square"/>
    <w:basedOn w:val="Nessunelenco"/>
    <w:rsid w:val="0074380E"/>
    <w:pPr>
      <w:numPr>
        <w:numId w:val="9"/>
      </w:numPr>
    </w:pPr>
  </w:style>
  <w:style w:type="paragraph" w:customStyle="1" w:styleId="JuHHead">
    <w:name w:val="Ju_H_Head"/>
    <w:aliases w:val="_Head_1"/>
    <w:basedOn w:val="Titolo1"/>
    <w:next w:val="JuPara"/>
    <w:uiPriority w:val="17"/>
    <w:qFormat/>
    <w:rsid w:val="0074380E"/>
    <w:pPr>
      <w:keepNext/>
      <w:keepLines/>
      <w:numPr>
        <w:numId w:val="5"/>
      </w:numPr>
      <w:spacing w:before="100" w:beforeAutospacing="1" w:after="240"/>
      <w:contextualSpacing w:val="0"/>
    </w:pPr>
    <w:rPr>
      <w:b w:val="0"/>
      <w:caps/>
      <w:color w:val="auto"/>
    </w:rPr>
  </w:style>
  <w:style w:type="numbering" w:customStyle="1" w:styleId="ECHRA1StyleList">
    <w:name w:val="ECHR_A1_Style_List"/>
    <w:basedOn w:val="Nessunelenco"/>
    <w:uiPriority w:val="99"/>
    <w:rsid w:val="0074380E"/>
    <w:pPr>
      <w:numPr>
        <w:numId w:val="10"/>
      </w:numPr>
    </w:pPr>
  </w:style>
  <w:style w:type="paragraph" w:customStyle="1" w:styleId="JuSigned">
    <w:name w:val="Ju_Signed"/>
    <w:aliases w:val="_Signature"/>
    <w:basedOn w:val="Normale"/>
    <w:next w:val="JuPara"/>
    <w:uiPriority w:val="31"/>
    <w:qFormat/>
    <w:rsid w:val="0074380E"/>
    <w:pPr>
      <w:tabs>
        <w:tab w:val="center" w:pos="851"/>
        <w:tab w:val="center" w:pos="6407"/>
      </w:tabs>
      <w:spacing w:before="720"/>
    </w:pPr>
  </w:style>
  <w:style w:type="paragraph" w:styleId="Titolo">
    <w:name w:val="Title"/>
    <w:basedOn w:val="Normale"/>
    <w:next w:val="Normale"/>
    <w:link w:val="TitoloCarattere"/>
    <w:uiPriority w:val="98"/>
    <w:semiHidden/>
    <w:qFormat/>
    <w:rsid w:val="0074380E"/>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74380E"/>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essunelenco"/>
    <w:rsid w:val="0074380E"/>
    <w:pPr>
      <w:numPr>
        <w:numId w:val="1"/>
      </w:numPr>
    </w:pPr>
  </w:style>
  <w:style w:type="table" w:customStyle="1" w:styleId="ECHRTable2019">
    <w:name w:val="ECHR_Table_2019"/>
    <w:basedOn w:val="Tabellanormale"/>
    <w:uiPriority w:val="99"/>
    <w:rsid w:val="0074380E"/>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74380E"/>
    <w:rPr>
      <w:sz w:val="8"/>
    </w:rPr>
  </w:style>
  <w:style w:type="paragraph" w:customStyle="1" w:styleId="JuCourt">
    <w:name w:val="Ju_Court"/>
    <w:aliases w:val="_Court_Names"/>
    <w:basedOn w:val="Normale"/>
    <w:next w:val="Normale"/>
    <w:uiPriority w:val="32"/>
    <w:qFormat/>
    <w:rsid w:val="0074380E"/>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1"/>
    <w:qFormat/>
    <w:rsid w:val="0074380E"/>
    <w:pPr>
      <w:tabs>
        <w:tab w:val="center" w:pos="6407"/>
      </w:tabs>
      <w:spacing w:before="720"/>
      <w:jc w:val="right"/>
    </w:pPr>
  </w:style>
  <w:style w:type="paragraph" w:customStyle="1" w:styleId="JuHIRoman">
    <w:name w:val="Ju_H_I_Roman"/>
    <w:aliases w:val="_Head_2"/>
    <w:basedOn w:val="Titolo2"/>
    <w:next w:val="JuPara"/>
    <w:uiPriority w:val="17"/>
    <w:qFormat/>
    <w:rsid w:val="0074380E"/>
    <w:pPr>
      <w:keepNext/>
      <w:keepLines/>
      <w:numPr>
        <w:ilvl w:val="1"/>
        <w:numId w:val="5"/>
      </w:numPr>
      <w:spacing w:before="100" w:beforeAutospacing="1" w:after="240"/>
    </w:pPr>
    <w:rPr>
      <w:b w:val="0"/>
      <w:caps/>
      <w:color w:val="auto"/>
      <w:sz w:val="24"/>
    </w:rPr>
  </w:style>
  <w:style w:type="paragraph" w:customStyle="1" w:styleId="JuHA">
    <w:name w:val="Ju_H_A"/>
    <w:aliases w:val="_Head_3"/>
    <w:basedOn w:val="Titolo3"/>
    <w:next w:val="JuPara"/>
    <w:uiPriority w:val="17"/>
    <w:qFormat/>
    <w:rsid w:val="0074380E"/>
    <w:pPr>
      <w:keepNext/>
      <w:keepLines/>
      <w:numPr>
        <w:ilvl w:val="2"/>
        <w:numId w:val="5"/>
      </w:numPr>
      <w:spacing w:before="100" w:beforeAutospacing="1" w:after="240" w:line="240" w:lineRule="auto"/>
    </w:pPr>
    <w:rPr>
      <w:color w:val="auto"/>
      <w:sz w:val="24"/>
    </w:rPr>
  </w:style>
  <w:style w:type="paragraph" w:customStyle="1" w:styleId="JuH1">
    <w:name w:val="Ju_H_1."/>
    <w:aliases w:val="_Head_4"/>
    <w:basedOn w:val="Titolo4"/>
    <w:next w:val="JuPara"/>
    <w:uiPriority w:val="17"/>
    <w:rsid w:val="0074380E"/>
    <w:pPr>
      <w:keepNext/>
      <w:keepLines/>
      <w:numPr>
        <w:ilvl w:val="3"/>
        <w:numId w:val="5"/>
      </w:numPr>
      <w:spacing w:before="100" w:beforeAutospacing="1" w:after="120"/>
    </w:pPr>
    <w:rPr>
      <w:b w:val="0"/>
      <w:color w:val="auto"/>
      <w:sz w:val="24"/>
    </w:rPr>
  </w:style>
  <w:style w:type="paragraph" w:styleId="Intestazione">
    <w:name w:val="header"/>
    <w:basedOn w:val="Normale"/>
    <w:link w:val="IntestazioneCarattere"/>
    <w:uiPriority w:val="98"/>
    <w:semiHidden/>
    <w:rsid w:val="0074380E"/>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74380E"/>
    <w:rPr>
      <w:sz w:val="24"/>
      <w:szCs w:val="24"/>
      <w:lang w:val="fr-FR"/>
    </w:rPr>
  </w:style>
  <w:style w:type="character" w:customStyle="1" w:styleId="Titolo1Carattere">
    <w:name w:val="Titolo 1 Carattere"/>
    <w:basedOn w:val="Carpredefinitoparagrafo"/>
    <w:link w:val="Titolo1"/>
    <w:uiPriority w:val="98"/>
    <w:semiHidden/>
    <w:rsid w:val="0074380E"/>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Titolo5"/>
    <w:next w:val="JuPara"/>
    <w:uiPriority w:val="17"/>
    <w:rsid w:val="0074380E"/>
    <w:pPr>
      <w:keepNext/>
      <w:keepLines/>
      <w:numPr>
        <w:ilvl w:val="4"/>
        <w:numId w:val="5"/>
      </w:numPr>
      <w:spacing w:before="100" w:beforeAutospacing="1" w:after="120"/>
    </w:pPr>
    <w:rPr>
      <w:color w:val="auto"/>
      <w:sz w:val="20"/>
    </w:rPr>
  </w:style>
  <w:style w:type="paragraph" w:customStyle="1" w:styleId="JuHi">
    <w:name w:val="Ju_H_i"/>
    <w:aliases w:val="_Head_6"/>
    <w:basedOn w:val="Titolo6"/>
    <w:next w:val="JuPara"/>
    <w:uiPriority w:val="17"/>
    <w:rsid w:val="0074380E"/>
    <w:pPr>
      <w:keepNext/>
      <w:keepLines/>
      <w:numPr>
        <w:ilvl w:val="5"/>
        <w:numId w:val="5"/>
      </w:numPr>
      <w:spacing w:before="100" w:beforeAutospacing="1" w:after="120"/>
    </w:pPr>
    <w:rPr>
      <w:b w:val="0"/>
      <w:color w:val="auto"/>
      <w:sz w:val="20"/>
    </w:rPr>
  </w:style>
  <w:style w:type="character" w:customStyle="1" w:styleId="Titolo2Carattere">
    <w:name w:val="Titolo 2 Carattere"/>
    <w:basedOn w:val="Carpredefinitoparagrafo"/>
    <w:link w:val="Titolo2"/>
    <w:uiPriority w:val="98"/>
    <w:semiHidden/>
    <w:rsid w:val="0074380E"/>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Titolo7"/>
    <w:next w:val="JuPara"/>
    <w:uiPriority w:val="17"/>
    <w:rsid w:val="0074380E"/>
    <w:pPr>
      <w:keepNext/>
      <w:keepLines/>
      <w:numPr>
        <w:ilvl w:val="6"/>
        <w:numId w:val="5"/>
      </w:numPr>
      <w:spacing w:before="100" w:beforeAutospacing="1" w:after="120"/>
    </w:pPr>
    <w:rPr>
      <w:i w:val="0"/>
      <w:sz w:val="20"/>
    </w:rPr>
  </w:style>
  <w:style w:type="paragraph" w:customStyle="1" w:styleId="JuH">
    <w:name w:val="Ju_H_–"/>
    <w:aliases w:val="_Head_8"/>
    <w:basedOn w:val="Titolo8"/>
    <w:next w:val="JuPara"/>
    <w:uiPriority w:val="17"/>
    <w:rsid w:val="0074380E"/>
    <w:pPr>
      <w:keepNext/>
      <w:keepLines/>
      <w:numPr>
        <w:ilvl w:val="7"/>
        <w:numId w:val="5"/>
      </w:numPr>
      <w:spacing w:before="100" w:beforeAutospacing="1" w:after="120"/>
    </w:pPr>
    <w:rPr>
      <w:i/>
    </w:rPr>
  </w:style>
  <w:style w:type="character" w:customStyle="1" w:styleId="Titolo3Carattere">
    <w:name w:val="Titolo 3 Carattere"/>
    <w:basedOn w:val="Carpredefinitoparagrafo"/>
    <w:link w:val="Titolo3"/>
    <w:uiPriority w:val="98"/>
    <w:semiHidden/>
    <w:rsid w:val="0074380E"/>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74380E"/>
    <w:pPr>
      <w:keepNext/>
      <w:keepLines/>
      <w:spacing w:before="240" w:after="240"/>
      <w:ind w:firstLine="284"/>
    </w:pPr>
  </w:style>
  <w:style w:type="paragraph" w:customStyle="1" w:styleId="JuJudges">
    <w:name w:val="Ju_Judges"/>
    <w:aliases w:val="_Judges"/>
    <w:basedOn w:val="Normale"/>
    <w:uiPriority w:val="32"/>
    <w:qFormat/>
    <w:rsid w:val="0074380E"/>
    <w:pPr>
      <w:tabs>
        <w:tab w:val="left" w:pos="567"/>
        <w:tab w:val="left" w:pos="1134"/>
      </w:tabs>
    </w:pPr>
  </w:style>
  <w:style w:type="character" w:customStyle="1" w:styleId="Titolo4Carattere">
    <w:name w:val="Titolo 4 Carattere"/>
    <w:basedOn w:val="Carpredefinitoparagrafo"/>
    <w:link w:val="Titolo4"/>
    <w:uiPriority w:val="98"/>
    <w:semiHidden/>
    <w:rsid w:val="0074380E"/>
    <w:rPr>
      <w:rFonts w:asciiTheme="majorHAnsi" w:eastAsiaTheme="majorEastAsia" w:hAnsiTheme="majorHAnsi" w:cstheme="majorBidi"/>
      <w:b/>
      <w:bCs/>
      <w:i/>
      <w:iCs/>
      <w:color w:val="777777"/>
      <w:lang w:val="en-GB"/>
    </w:rPr>
  </w:style>
  <w:style w:type="character" w:customStyle="1" w:styleId="JuITMark">
    <w:name w:val="Ju_ITMark"/>
    <w:aliases w:val="_ITMark"/>
    <w:basedOn w:val="Carpredefinitoparagrafo"/>
    <w:uiPriority w:val="43"/>
    <w:qFormat/>
    <w:rsid w:val="0074380E"/>
    <w:rPr>
      <w:vanish w:val="0"/>
      <w:color w:val="auto"/>
      <w:sz w:val="14"/>
      <w:bdr w:val="none" w:sz="0" w:space="0" w:color="auto"/>
      <w:shd w:val="clear" w:color="auto" w:fill="BEE5FF" w:themeFill="background1" w:themeFillTint="33"/>
    </w:rPr>
  </w:style>
  <w:style w:type="character" w:customStyle="1" w:styleId="Titolo5Carattere">
    <w:name w:val="Titolo 5 Carattere"/>
    <w:basedOn w:val="Carpredefinitoparagrafo"/>
    <w:link w:val="Titolo5"/>
    <w:uiPriority w:val="98"/>
    <w:semiHidden/>
    <w:rsid w:val="0074380E"/>
    <w:rPr>
      <w:rFonts w:asciiTheme="majorHAnsi" w:eastAsiaTheme="majorEastAsia" w:hAnsiTheme="majorHAnsi" w:cstheme="majorBidi"/>
      <w:b/>
      <w:bCs/>
      <w:color w:val="808080"/>
      <w:lang w:val="en-GB"/>
    </w:rPr>
  </w:style>
  <w:style w:type="character" w:customStyle="1" w:styleId="JUNAMES">
    <w:name w:val="JU_NAMES"/>
    <w:aliases w:val="_Ju_Names"/>
    <w:uiPriority w:val="33"/>
    <w:qFormat/>
    <w:rsid w:val="0074380E"/>
    <w:rPr>
      <w:caps w:val="0"/>
      <w:smallCaps/>
    </w:rPr>
  </w:style>
  <w:style w:type="paragraph" w:customStyle="1" w:styleId="NormalJustified">
    <w:name w:val="Normal_Justified"/>
    <w:basedOn w:val="Normale"/>
    <w:semiHidden/>
    <w:rsid w:val="0074380E"/>
    <w:pPr>
      <w:jc w:val="both"/>
    </w:pPr>
  </w:style>
  <w:style w:type="character" w:styleId="Enfasidelicata">
    <w:name w:val="Subtle Emphasis"/>
    <w:uiPriority w:val="98"/>
    <w:semiHidden/>
    <w:qFormat/>
    <w:rsid w:val="0074380E"/>
    <w:rPr>
      <w:i/>
      <w:iCs/>
    </w:rPr>
  </w:style>
  <w:style w:type="table" w:customStyle="1" w:styleId="ECHRTable">
    <w:name w:val="ECHR_Table"/>
    <w:basedOn w:val="Tabellanormale"/>
    <w:rsid w:val="0074380E"/>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74380E"/>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8"/>
    <w:semiHidden/>
    <w:qFormat/>
    <w:rsid w:val="0074380E"/>
    <w:rPr>
      <w:b/>
      <w:bCs/>
      <w:i/>
      <w:iCs/>
      <w:spacing w:val="10"/>
      <w:bdr w:val="none" w:sz="0" w:space="0" w:color="auto"/>
      <w:shd w:val="clear" w:color="auto" w:fill="auto"/>
    </w:rPr>
  </w:style>
  <w:style w:type="paragraph" w:styleId="Pidipagina">
    <w:name w:val="footer"/>
    <w:basedOn w:val="Normale"/>
    <w:link w:val="PidipaginaCarattere"/>
    <w:uiPriority w:val="98"/>
    <w:semiHidden/>
    <w:rsid w:val="0074380E"/>
    <w:pPr>
      <w:tabs>
        <w:tab w:val="center" w:pos="3686"/>
        <w:tab w:val="right" w:pos="7371"/>
      </w:tabs>
    </w:pPr>
  </w:style>
  <w:style w:type="character" w:customStyle="1" w:styleId="PidipaginaCarattere">
    <w:name w:val="Piè di pagina Carattere"/>
    <w:basedOn w:val="Carpredefinitoparagrafo"/>
    <w:link w:val="Pidipagina"/>
    <w:uiPriority w:val="98"/>
    <w:semiHidden/>
    <w:rsid w:val="0074380E"/>
    <w:rPr>
      <w:sz w:val="24"/>
      <w:szCs w:val="24"/>
      <w:lang w:val="fr-FR"/>
    </w:rPr>
  </w:style>
  <w:style w:type="character" w:styleId="Rimandonotaapidipagina">
    <w:name w:val="footnote reference"/>
    <w:basedOn w:val="Carpredefinitoparagrafo"/>
    <w:uiPriority w:val="98"/>
    <w:semiHidden/>
    <w:rsid w:val="0074380E"/>
    <w:rPr>
      <w:vertAlign w:val="superscript"/>
    </w:rPr>
  </w:style>
  <w:style w:type="paragraph" w:styleId="Testonotaapidipagina">
    <w:name w:val="footnote text"/>
    <w:basedOn w:val="Normale"/>
    <w:link w:val="TestonotaapidipaginaCarattere"/>
    <w:uiPriority w:val="98"/>
    <w:semiHidden/>
    <w:rsid w:val="0074380E"/>
    <w:rPr>
      <w:sz w:val="20"/>
      <w:szCs w:val="20"/>
    </w:rPr>
  </w:style>
  <w:style w:type="character" w:customStyle="1" w:styleId="TestonotaapidipaginaCarattere">
    <w:name w:val="Testo nota a piè di pagina Carattere"/>
    <w:basedOn w:val="Carpredefinitoparagrafo"/>
    <w:link w:val="Testonotaapidipagina"/>
    <w:uiPriority w:val="98"/>
    <w:semiHidden/>
    <w:rsid w:val="0074380E"/>
    <w:rPr>
      <w:sz w:val="20"/>
      <w:szCs w:val="20"/>
      <w:lang w:val="fr-FR"/>
    </w:rPr>
  </w:style>
  <w:style w:type="character" w:customStyle="1" w:styleId="Titolo6Carattere">
    <w:name w:val="Titolo 6 Carattere"/>
    <w:basedOn w:val="Carpredefinitoparagrafo"/>
    <w:link w:val="Titolo6"/>
    <w:uiPriority w:val="98"/>
    <w:semiHidden/>
    <w:rsid w:val="0074380E"/>
    <w:rPr>
      <w:rFonts w:asciiTheme="majorHAnsi" w:eastAsiaTheme="majorEastAsia" w:hAnsiTheme="majorHAnsi" w:cstheme="majorBidi"/>
      <w:b/>
      <w:bCs/>
      <w:i/>
      <w:iCs/>
      <w:color w:val="7F7F7F" w:themeColor="text1" w:themeTint="80"/>
      <w:lang w:val="en-GB" w:bidi="en-US"/>
    </w:rPr>
  </w:style>
  <w:style w:type="character" w:customStyle="1" w:styleId="Titolo7Carattere">
    <w:name w:val="Titolo 7 Carattere"/>
    <w:basedOn w:val="Carpredefinitoparagrafo"/>
    <w:link w:val="Titolo7"/>
    <w:uiPriority w:val="98"/>
    <w:semiHidden/>
    <w:rsid w:val="0074380E"/>
    <w:rPr>
      <w:rFonts w:asciiTheme="majorHAnsi" w:eastAsiaTheme="majorEastAsia" w:hAnsiTheme="majorHAnsi" w:cstheme="majorBidi"/>
      <w:i/>
      <w:iCs/>
      <w:lang w:val="en-GB" w:bidi="en-US"/>
    </w:rPr>
  </w:style>
  <w:style w:type="character" w:customStyle="1" w:styleId="Titolo8Carattere">
    <w:name w:val="Titolo 8 Carattere"/>
    <w:basedOn w:val="Carpredefinitoparagrafo"/>
    <w:link w:val="Titolo8"/>
    <w:uiPriority w:val="98"/>
    <w:semiHidden/>
    <w:rsid w:val="0074380E"/>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74380E"/>
    <w:rPr>
      <w:rFonts w:asciiTheme="majorHAnsi" w:eastAsiaTheme="majorEastAsia" w:hAnsiTheme="majorHAnsi" w:cstheme="majorBidi"/>
      <w:i/>
      <w:iCs/>
      <w:spacing w:val="5"/>
      <w:sz w:val="20"/>
      <w:szCs w:val="20"/>
      <w:lang w:val="en-GB" w:bidi="en-US"/>
    </w:rPr>
  </w:style>
  <w:style w:type="character" w:styleId="Collegamentoipertestuale">
    <w:name w:val="Hyperlink"/>
    <w:basedOn w:val="Carpredefinitoparagrafo"/>
    <w:uiPriority w:val="98"/>
    <w:semiHidden/>
    <w:rsid w:val="0074380E"/>
    <w:rPr>
      <w:color w:val="0072BC" w:themeColor="hyperlink"/>
      <w:u w:val="single"/>
    </w:rPr>
  </w:style>
  <w:style w:type="character" w:styleId="Enfasiintensa">
    <w:name w:val="Intense Emphasis"/>
    <w:uiPriority w:val="98"/>
    <w:semiHidden/>
    <w:qFormat/>
    <w:rsid w:val="0074380E"/>
    <w:rPr>
      <w:b/>
      <w:bCs/>
    </w:rPr>
  </w:style>
  <w:style w:type="paragraph" w:styleId="Citazioneintensa">
    <w:name w:val="Intense Quote"/>
    <w:basedOn w:val="Normale"/>
    <w:next w:val="Normale"/>
    <w:link w:val="CitazioneintensaCarattere"/>
    <w:uiPriority w:val="98"/>
    <w:semiHidden/>
    <w:qFormat/>
    <w:rsid w:val="0074380E"/>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74380E"/>
    <w:rPr>
      <w:b/>
      <w:bCs/>
      <w:i/>
      <w:iCs/>
      <w:sz w:val="24"/>
      <w:szCs w:val="24"/>
      <w:lang w:val="fr-FR" w:bidi="en-US"/>
    </w:rPr>
  </w:style>
  <w:style w:type="character" w:styleId="Riferimentointenso">
    <w:name w:val="Intense Reference"/>
    <w:uiPriority w:val="98"/>
    <w:semiHidden/>
    <w:qFormat/>
    <w:rsid w:val="0074380E"/>
    <w:rPr>
      <w:smallCaps/>
      <w:spacing w:val="5"/>
      <w:u w:val="single"/>
    </w:rPr>
  </w:style>
  <w:style w:type="paragraph" w:styleId="Paragrafoelenco">
    <w:name w:val="List Paragraph"/>
    <w:basedOn w:val="Normale"/>
    <w:uiPriority w:val="98"/>
    <w:semiHidden/>
    <w:qFormat/>
    <w:rsid w:val="0074380E"/>
    <w:pPr>
      <w:ind w:left="720"/>
      <w:contextualSpacing/>
    </w:pPr>
  </w:style>
  <w:style w:type="table" w:customStyle="1" w:styleId="LtrTableAddress">
    <w:name w:val="Ltr_Table_Address"/>
    <w:aliases w:val="ECHR_Ltr_Table_Address"/>
    <w:basedOn w:val="Tabellanormale"/>
    <w:uiPriority w:val="99"/>
    <w:rsid w:val="0074380E"/>
    <w:rPr>
      <w:sz w:val="24"/>
      <w:szCs w:val="24"/>
    </w:rPr>
    <w:tblPr>
      <w:tblInd w:w="5103" w:type="dxa"/>
    </w:tblPr>
  </w:style>
  <w:style w:type="paragraph" w:styleId="Citazione">
    <w:name w:val="Quote"/>
    <w:basedOn w:val="Normale"/>
    <w:next w:val="Normale"/>
    <w:link w:val="CitazioneCarattere"/>
    <w:uiPriority w:val="98"/>
    <w:semiHidden/>
    <w:qFormat/>
    <w:rsid w:val="0074380E"/>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74380E"/>
    <w:rPr>
      <w:i/>
      <w:iCs/>
      <w:sz w:val="24"/>
      <w:szCs w:val="24"/>
      <w:lang w:val="fr-FR" w:bidi="en-US"/>
    </w:rPr>
  </w:style>
  <w:style w:type="character" w:styleId="Riferimentodelicato">
    <w:name w:val="Subtle Reference"/>
    <w:uiPriority w:val="98"/>
    <w:semiHidden/>
    <w:qFormat/>
    <w:rsid w:val="0074380E"/>
    <w:rPr>
      <w:smallCaps/>
    </w:rPr>
  </w:style>
  <w:style w:type="table" w:styleId="Grigliatabella">
    <w:name w:val="Table Grid"/>
    <w:basedOn w:val="Tabellanormale"/>
    <w:uiPriority w:val="59"/>
    <w:semiHidden/>
    <w:rsid w:val="0074380E"/>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74380E"/>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74380E"/>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74380E"/>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74380E"/>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74380E"/>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74380E"/>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74380E"/>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74380E"/>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74380E"/>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74380E"/>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74380E"/>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74380E"/>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74380E"/>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74380E"/>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74380E"/>
    <w:rPr>
      <w:rFonts w:asciiTheme="majorHAnsi" w:eastAsiaTheme="majorEastAsia" w:hAnsiTheme="majorHAnsi" w:cstheme="majorBidi"/>
      <w:i/>
      <w:iCs/>
      <w:spacing w:val="13"/>
      <w:sz w:val="24"/>
      <w:szCs w:val="24"/>
      <w:lang w:val="fr-FR" w:bidi="en-US"/>
    </w:rPr>
  </w:style>
  <w:style w:type="numbering" w:styleId="111111">
    <w:name w:val="Outline List 2"/>
    <w:basedOn w:val="Nessunelenco"/>
    <w:uiPriority w:val="99"/>
    <w:semiHidden/>
    <w:unhideWhenUsed/>
    <w:rsid w:val="0074380E"/>
    <w:pPr>
      <w:numPr>
        <w:numId w:val="6"/>
      </w:numPr>
    </w:pPr>
  </w:style>
  <w:style w:type="paragraph" w:customStyle="1" w:styleId="JuPara">
    <w:name w:val="Ju_Para"/>
    <w:aliases w:val="_Para"/>
    <w:basedOn w:val="NormalJustified"/>
    <w:link w:val="JuParaChar"/>
    <w:uiPriority w:val="4"/>
    <w:qFormat/>
    <w:rsid w:val="0074380E"/>
    <w:pPr>
      <w:ind w:firstLine="284"/>
    </w:pPr>
  </w:style>
  <w:style w:type="numbering" w:styleId="1ai">
    <w:name w:val="Outline List 1"/>
    <w:basedOn w:val="Nessunelenco"/>
    <w:uiPriority w:val="99"/>
    <w:semiHidden/>
    <w:unhideWhenUsed/>
    <w:rsid w:val="0074380E"/>
    <w:pPr>
      <w:numPr>
        <w:numId w:val="7"/>
      </w:numPr>
    </w:pPr>
  </w:style>
  <w:style w:type="table" w:customStyle="1" w:styleId="ECHRTableSimpleBox">
    <w:name w:val="ECHR_Table_Simple_Box"/>
    <w:basedOn w:val="Tabellanormale"/>
    <w:uiPriority w:val="99"/>
    <w:rsid w:val="0074380E"/>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74380E"/>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74380E"/>
    <w:pPr>
      <w:numPr>
        <w:numId w:val="8"/>
      </w:numPr>
    </w:pPr>
  </w:style>
  <w:style w:type="table" w:customStyle="1" w:styleId="ECHRTableForInternalUse">
    <w:name w:val="ECHR_Table_For_Internal_Use"/>
    <w:basedOn w:val="Tabellanormale"/>
    <w:uiPriority w:val="99"/>
    <w:rsid w:val="0074380E"/>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74380E"/>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8"/>
    <w:semiHidden/>
    <w:rsid w:val="0074380E"/>
  </w:style>
  <w:style w:type="paragraph" w:styleId="Testodelblocco">
    <w:name w:val="Block Text"/>
    <w:basedOn w:val="Normale"/>
    <w:uiPriority w:val="98"/>
    <w:semiHidden/>
    <w:rsid w:val="0074380E"/>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74380E"/>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8"/>
    <w:semiHidden/>
    <w:rsid w:val="0074380E"/>
    <w:pPr>
      <w:spacing w:after="120"/>
    </w:pPr>
  </w:style>
  <w:style w:type="character" w:customStyle="1" w:styleId="CorpotestoCarattere">
    <w:name w:val="Corpo testo Carattere"/>
    <w:basedOn w:val="Carpredefinitoparagrafo"/>
    <w:link w:val="Corpotesto"/>
    <w:uiPriority w:val="98"/>
    <w:semiHidden/>
    <w:rsid w:val="0074380E"/>
    <w:rPr>
      <w:sz w:val="24"/>
      <w:szCs w:val="24"/>
      <w:lang w:val="fr-FR"/>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8"/>
    <w:semiHidden/>
    <w:rsid w:val="0074380E"/>
    <w:pPr>
      <w:spacing w:after="120" w:line="480" w:lineRule="auto"/>
    </w:pPr>
  </w:style>
  <w:style w:type="table" w:customStyle="1" w:styleId="ECHRHeaderTableReduced">
    <w:name w:val="ECHR_Header_Table_Reduced"/>
    <w:basedOn w:val="Tabellanormale"/>
    <w:uiPriority w:val="99"/>
    <w:rsid w:val="0074380E"/>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e"/>
    <w:next w:val="JuPara"/>
    <w:uiPriority w:val="32"/>
    <w:rsid w:val="0074380E"/>
    <w:pPr>
      <w:ind w:firstLine="284"/>
    </w:pPr>
    <w:rPr>
      <w:b/>
    </w:rPr>
  </w:style>
  <w:style w:type="character" w:styleId="Numeropagina">
    <w:name w:val="page number"/>
    <w:uiPriority w:val="98"/>
    <w:semiHidden/>
    <w:rsid w:val="0074380E"/>
    <w:rPr>
      <w:sz w:val="18"/>
    </w:rPr>
  </w:style>
  <w:style w:type="paragraph" w:styleId="Puntoelenco2">
    <w:name w:val="List Bullet 2"/>
    <w:basedOn w:val="Normale"/>
    <w:uiPriority w:val="98"/>
    <w:semiHidden/>
    <w:rsid w:val="0074380E"/>
    <w:pPr>
      <w:numPr>
        <w:numId w:val="13"/>
      </w:numPr>
      <w:contextualSpacing/>
    </w:pPr>
  </w:style>
  <w:style w:type="character" w:customStyle="1" w:styleId="Corpodeltesto2Carattere">
    <w:name w:val="Corpo del testo 2 Carattere"/>
    <w:basedOn w:val="Carpredefinitoparagrafo"/>
    <w:link w:val="Corpodeltesto2"/>
    <w:uiPriority w:val="98"/>
    <w:semiHidden/>
    <w:rsid w:val="0074380E"/>
    <w:rPr>
      <w:sz w:val="24"/>
      <w:szCs w:val="24"/>
      <w:lang w:val="fr-FR"/>
    </w:rPr>
  </w:style>
  <w:style w:type="paragraph" w:styleId="Corpodeltesto3">
    <w:name w:val="Body Text 3"/>
    <w:basedOn w:val="Normale"/>
    <w:link w:val="Corpodeltesto3Carattere"/>
    <w:uiPriority w:val="98"/>
    <w:semiHidden/>
    <w:rsid w:val="0074380E"/>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74380E"/>
    <w:rPr>
      <w:sz w:val="16"/>
      <w:szCs w:val="16"/>
      <w:lang w:val="fr-FR"/>
    </w:rPr>
  </w:style>
  <w:style w:type="paragraph" w:styleId="Primorientrocorpodeltesto">
    <w:name w:val="Body Text First Indent"/>
    <w:basedOn w:val="Corpotesto"/>
    <w:link w:val="PrimorientrocorpodeltestoCarattere"/>
    <w:uiPriority w:val="98"/>
    <w:semiHidden/>
    <w:rsid w:val="0074380E"/>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74380E"/>
    <w:rPr>
      <w:sz w:val="24"/>
      <w:szCs w:val="24"/>
      <w:lang w:val="fr-FR"/>
    </w:rPr>
  </w:style>
  <w:style w:type="paragraph" w:styleId="Rientrocorpodeltesto">
    <w:name w:val="Body Text Indent"/>
    <w:basedOn w:val="Normale"/>
    <w:link w:val="RientrocorpodeltestoCarattere"/>
    <w:uiPriority w:val="98"/>
    <w:semiHidden/>
    <w:rsid w:val="0074380E"/>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74380E"/>
    <w:rPr>
      <w:sz w:val="24"/>
      <w:szCs w:val="24"/>
      <w:lang w:val="fr-FR"/>
    </w:rPr>
  </w:style>
  <w:style w:type="paragraph" w:styleId="Primorientrocorpodeltesto2">
    <w:name w:val="Body Text First Indent 2"/>
    <w:basedOn w:val="Rientrocorpodeltesto"/>
    <w:link w:val="Primorientrocorpodeltesto2Carattere"/>
    <w:uiPriority w:val="98"/>
    <w:semiHidden/>
    <w:rsid w:val="0074380E"/>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74380E"/>
    <w:rPr>
      <w:sz w:val="24"/>
      <w:szCs w:val="24"/>
      <w:lang w:val="fr-FR"/>
    </w:rPr>
  </w:style>
  <w:style w:type="paragraph" w:styleId="Rientrocorpodeltesto2">
    <w:name w:val="Body Text Indent 2"/>
    <w:basedOn w:val="Normale"/>
    <w:link w:val="Rientrocorpodeltesto2Carattere"/>
    <w:uiPriority w:val="98"/>
    <w:semiHidden/>
    <w:rsid w:val="0074380E"/>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74380E"/>
    <w:rPr>
      <w:sz w:val="24"/>
      <w:szCs w:val="24"/>
      <w:lang w:val="fr-FR"/>
    </w:rPr>
  </w:style>
  <w:style w:type="paragraph" w:styleId="Rientrocorpodeltesto3">
    <w:name w:val="Body Text Indent 3"/>
    <w:basedOn w:val="Normale"/>
    <w:link w:val="Rientrocorpodeltesto3Carattere"/>
    <w:uiPriority w:val="98"/>
    <w:semiHidden/>
    <w:rsid w:val="0074380E"/>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74380E"/>
    <w:rPr>
      <w:sz w:val="16"/>
      <w:szCs w:val="16"/>
      <w:lang w:val="fr-FR"/>
    </w:rPr>
  </w:style>
  <w:style w:type="paragraph" w:styleId="Didascalia">
    <w:name w:val="caption"/>
    <w:basedOn w:val="Normale"/>
    <w:next w:val="Normale"/>
    <w:uiPriority w:val="98"/>
    <w:semiHidden/>
    <w:qFormat/>
    <w:rsid w:val="0074380E"/>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74380E"/>
    <w:pPr>
      <w:ind w:left="4252"/>
    </w:pPr>
  </w:style>
  <w:style w:type="character" w:customStyle="1" w:styleId="FormuladichiusuraCarattere">
    <w:name w:val="Formula di chiusura Carattere"/>
    <w:basedOn w:val="Carpredefinitoparagrafo"/>
    <w:link w:val="Formuladichiusura"/>
    <w:uiPriority w:val="98"/>
    <w:semiHidden/>
    <w:rsid w:val="0074380E"/>
    <w:rPr>
      <w:sz w:val="24"/>
      <w:szCs w:val="24"/>
      <w:lang w:val="fr-FR"/>
    </w:rPr>
  </w:style>
  <w:style w:type="table" w:styleId="Grigliaacolori">
    <w:name w:val="Colorful Grid"/>
    <w:basedOn w:val="Tabellanormale"/>
    <w:uiPriority w:val="73"/>
    <w:semiHidden/>
    <w:rsid w:val="0074380E"/>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74380E"/>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74380E"/>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74380E"/>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74380E"/>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74380E"/>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74380E"/>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74380E"/>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74380E"/>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74380E"/>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74380E"/>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74380E"/>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74380E"/>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74380E"/>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74380E"/>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74380E"/>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74380E"/>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74380E"/>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74380E"/>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74380E"/>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74380E"/>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8"/>
    <w:semiHidden/>
    <w:rsid w:val="0074380E"/>
    <w:rPr>
      <w:sz w:val="16"/>
      <w:szCs w:val="16"/>
    </w:rPr>
  </w:style>
  <w:style w:type="paragraph" w:styleId="Testocommento">
    <w:name w:val="annotation text"/>
    <w:basedOn w:val="Normale"/>
    <w:link w:val="TestocommentoCarattere"/>
    <w:uiPriority w:val="98"/>
    <w:semiHidden/>
    <w:rsid w:val="0074380E"/>
    <w:rPr>
      <w:sz w:val="20"/>
      <w:szCs w:val="20"/>
    </w:rPr>
  </w:style>
  <w:style w:type="character" w:customStyle="1" w:styleId="TestocommentoCarattere">
    <w:name w:val="Testo commento Carattere"/>
    <w:basedOn w:val="Carpredefinitoparagrafo"/>
    <w:link w:val="Testocommento"/>
    <w:uiPriority w:val="98"/>
    <w:semiHidden/>
    <w:rsid w:val="0074380E"/>
    <w:rPr>
      <w:sz w:val="20"/>
      <w:szCs w:val="20"/>
      <w:lang w:val="fr-FR"/>
    </w:rPr>
  </w:style>
  <w:style w:type="paragraph" w:styleId="Soggettocommento">
    <w:name w:val="annotation subject"/>
    <w:basedOn w:val="Testocommento"/>
    <w:next w:val="Testocommento"/>
    <w:link w:val="SoggettocommentoCarattere"/>
    <w:uiPriority w:val="98"/>
    <w:semiHidden/>
    <w:rsid w:val="0074380E"/>
    <w:rPr>
      <w:b/>
      <w:bCs/>
    </w:rPr>
  </w:style>
  <w:style w:type="character" w:customStyle="1" w:styleId="SoggettocommentoCarattere">
    <w:name w:val="Soggetto commento Carattere"/>
    <w:basedOn w:val="TestocommentoCarattere"/>
    <w:link w:val="Soggettocommento"/>
    <w:uiPriority w:val="98"/>
    <w:semiHidden/>
    <w:rsid w:val="0074380E"/>
    <w:rPr>
      <w:b/>
      <w:bCs/>
      <w:sz w:val="20"/>
      <w:szCs w:val="20"/>
      <w:lang w:val="fr-FR"/>
    </w:rPr>
  </w:style>
  <w:style w:type="table" w:styleId="Elencoscuro">
    <w:name w:val="Dark List"/>
    <w:basedOn w:val="Tabellanormale"/>
    <w:uiPriority w:val="70"/>
    <w:semiHidden/>
    <w:rsid w:val="0074380E"/>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74380E"/>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74380E"/>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74380E"/>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74380E"/>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74380E"/>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74380E"/>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74380E"/>
  </w:style>
  <w:style w:type="character" w:customStyle="1" w:styleId="DataCarattere">
    <w:name w:val="Data Carattere"/>
    <w:basedOn w:val="Carpredefinitoparagrafo"/>
    <w:link w:val="Data"/>
    <w:uiPriority w:val="98"/>
    <w:semiHidden/>
    <w:rsid w:val="0074380E"/>
    <w:rPr>
      <w:sz w:val="24"/>
      <w:szCs w:val="24"/>
      <w:lang w:val="fr-FR"/>
    </w:rPr>
  </w:style>
  <w:style w:type="paragraph" w:styleId="Mappadocumento">
    <w:name w:val="Document Map"/>
    <w:basedOn w:val="Normale"/>
    <w:link w:val="MappadocumentoCarattere"/>
    <w:uiPriority w:val="98"/>
    <w:semiHidden/>
    <w:rsid w:val="0074380E"/>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74380E"/>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74380E"/>
  </w:style>
  <w:style w:type="character" w:customStyle="1" w:styleId="FirmadipostaelettronicaCarattere">
    <w:name w:val="Firma di posta elettronica Carattere"/>
    <w:basedOn w:val="Carpredefinitoparagrafo"/>
    <w:link w:val="Firmadipostaelettronica"/>
    <w:uiPriority w:val="98"/>
    <w:semiHidden/>
    <w:rsid w:val="0074380E"/>
    <w:rPr>
      <w:sz w:val="24"/>
      <w:szCs w:val="24"/>
      <w:lang w:val="fr-FR"/>
    </w:rPr>
  </w:style>
  <w:style w:type="character" w:styleId="Rimandonotadichiusura">
    <w:name w:val="endnote reference"/>
    <w:basedOn w:val="Carpredefinitoparagrafo"/>
    <w:uiPriority w:val="98"/>
    <w:semiHidden/>
    <w:rsid w:val="0074380E"/>
    <w:rPr>
      <w:vertAlign w:val="superscript"/>
    </w:rPr>
  </w:style>
  <w:style w:type="paragraph" w:styleId="Testonotadichiusura">
    <w:name w:val="endnote text"/>
    <w:basedOn w:val="Normale"/>
    <w:link w:val="TestonotadichiusuraCarattere"/>
    <w:uiPriority w:val="98"/>
    <w:semiHidden/>
    <w:rsid w:val="0074380E"/>
    <w:rPr>
      <w:sz w:val="20"/>
      <w:szCs w:val="20"/>
    </w:rPr>
  </w:style>
  <w:style w:type="character" w:customStyle="1" w:styleId="TestonotadichiusuraCarattere">
    <w:name w:val="Testo nota di chiusura Carattere"/>
    <w:basedOn w:val="Carpredefinitoparagrafo"/>
    <w:link w:val="Testonotadichiusura"/>
    <w:uiPriority w:val="98"/>
    <w:semiHidden/>
    <w:rsid w:val="0074380E"/>
    <w:rPr>
      <w:sz w:val="20"/>
      <w:szCs w:val="20"/>
      <w:lang w:val="fr-FR"/>
    </w:rPr>
  </w:style>
  <w:style w:type="paragraph" w:styleId="Indirizzodestinatario">
    <w:name w:val="envelope address"/>
    <w:basedOn w:val="Normale"/>
    <w:uiPriority w:val="98"/>
    <w:semiHidden/>
    <w:rsid w:val="0074380E"/>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74380E"/>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74380E"/>
    <w:rPr>
      <w:color w:val="7030A0" w:themeColor="followedHyperlink"/>
      <w:u w:val="single"/>
    </w:rPr>
  </w:style>
  <w:style w:type="character" w:styleId="AcronimoHTML">
    <w:name w:val="HTML Acronym"/>
    <w:basedOn w:val="Carpredefinitoparagrafo"/>
    <w:uiPriority w:val="98"/>
    <w:semiHidden/>
    <w:rsid w:val="0074380E"/>
  </w:style>
  <w:style w:type="paragraph" w:styleId="IndirizzoHTML">
    <w:name w:val="HTML Address"/>
    <w:basedOn w:val="Normale"/>
    <w:link w:val="IndirizzoHTMLCarattere"/>
    <w:uiPriority w:val="98"/>
    <w:semiHidden/>
    <w:rsid w:val="0074380E"/>
    <w:rPr>
      <w:i/>
      <w:iCs/>
    </w:rPr>
  </w:style>
  <w:style w:type="character" w:customStyle="1" w:styleId="IndirizzoHTMLCarattere">
    <w:name w:val="Indirizzo HTML Carattere"/>
    <w:basedOn w:val="Carpredefinitoparagrafo"/>
    <w:link w:val="IndirizzoHTML"/>
    <w:uiPriority w:val="98"/>
    <w:semiHidden/>
    <w:rsid w:val="0074380E"/>
    <w:rPr>
      <w:i/>
      <w:iCs/>
      <w:sz w:val="24"/>
      <w:szCs w:val="24"/>
      <w:lang w:val="fr-FR"/>
    </w:rPr>
  </w:style>
  <w:style w:type="character" w:styleId="CitazioneHTML">
    <w:name w:val="HTML Cite"/>
    <w:basedOn w:val="Carpredefinitoparagrafo"/>
    <w:uiPriority w:val="98"/>
    <w:semiHidden/>
    <w:rsid w:val="0074380E"/>
    <w:rPr>
      <w:i/>
      <w:iCs/>
    </w:rPr>
  </w:style>
  <w:style w:type="character" w:styleId="CodiceHTML">
    <w:name w:val="HTML Code"/>
    <w:basedOn w:val="Carpredefinitoparagrafo"/>
    <w:uiPriority w:val="98"/>
    <w:semiHidden/>
    <w:rsid w:val="0074380E"/>
    <w:rPr>
      <w:rFonts w:ascii="Consolas" w:hAnsi="Consolas" w:cs="Consolas"/>
      <w:sz w:val="20"/>
      <w:szCs w:val="20"/>
    </w:rPr>
  </w:style>
  <w:style w:type="character" w:styleId="DefinizioneHTML">
    <w:name w:val="HTML Definition"/>
    <w:basedOn w:val="Carpredefinitoparagrafo"/>
    <w:uiPriority w:val="98"/>
    <w:semiHidden/>
    <w:rsid w:val="0074380E"/>
    <w:rPr>
      <w:i/>
      <w:iCs/>
    </w:rPr>
  </w:style>
  <w:style w:type="character" w:styleId="TastieraHTML">
    <w:name w:val="HTML Keyboard"/>
    <w:basedOn w:val="Carpredefinitoparagrafo"/>
    <w:uiPriority w:val="98"/>
    <w:semiHidden/>
    <w:rsid w:val="0074380E"/>
    <w:rPr>
      <w:rFonts w:ascii="Consolas" w:hAnsi="Consolas" w:cs="Consolas"/>
      <w:sz w:val="20"/>
      <w:szCs w:val="20"/>
    </w:rPr>
  </w:style>
  <w:style w:type="paragraph" w:styleId="PreformattatoHTML">
    <w:name w:val="HTML Preformatted"/>
    <w:basedOn w:val="Normale"/>
    <w:link w:val="PreformattatoHTMLCarattere"/>
    <w:uiPriority w:val="98"/>
    <w:semiHidden/>
    <w:rsid w:val="0074380E"/>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74380E"/>
    <w:rPr>
      <w:rFonts w:ascii="Consolas" w:hAnsi="Consolas" w:cs="Consolas"/>
      <w:sz w:val="20"/>
      <w:szCs w:val="20"/>
      <w:lang w:val="fr-FR"/>
    </w:rPr>
  </w:style>
  <w:style w:type="character" w:styleId="EsempioHTML">
    <w:name w:val="HTML Sample"/>
    <w:basedOn w:val="Carpredefinitoparagrafo"/>
    <w:uiPriority w:val="98"/>
    <w:semiHidden/>
    <w:rsid w:val="0074380E"/>
    <w:rPr>
      <w:rFonts w:ascii="Consolas" w:hAnsi="Consolas" w:cs="Consolas"/>
      <w:sz w:val="24"/>
      <w:szCs w:val="24"/>
    </w:rPr>
  </w:style>
  <w:style w:type="character" w:styleId="MacchinadascrivereHTML">
    <w:name w:val="HTML Typewriter"/>
    <w:basedOn w:val="Carpredefinitoparagrafo"/>
    <w:uiPriority w:val="98"/>
    <w:semiHidden/>
    <w:rsid w:val="0074380E"/>
    <w:rPr>
      <w:rFonts w:ascii="Consolas" w:hAnsi="Consolas" w:cs="Consolas"/>
      <w:sz w:val="20"/>
      <w:szCs w:val="20"/>
    </w:rPr>
  </w:style>
  <w:style w:type="character" w:styleId="VariabileHTML">
    <w:name w:val="HTML Variable"/>
    <w:basedOn w:val="Carpredefinitoparagrafo"/>
    <w:uiPriority w:val="98"/>
    <w:semiHidden/>
    <w:rsid w:val="0074380E"/>
    <w:rPr>
      <w:i/>
      <w:iCs/>
    </w:rPr>
  </w:style>
  <w:style w:type="paragraph" w:styleId="Indice1">
    <w:name w:val="index 1"/>
    <w:basedOn w:val="Normale"/>
    <w:next w:val="Normale"/>
    <w:autoRedefine/>
    <w:uiPriority w:val="98"/>
    <w:semiHidden/>
    <w:rsid w:val="0074380E"/>
    <w:pPr>
      <w:ind w:left="240" w:hanging="240"/>
    </w:pPr>
  </w:style>
  <w:style w:type="paragraph" w:styleId="Indice2">
    <w:name w:val="index 2"/>
    <w:basedOn w:val="Normale"/>
    <w:next w:val="Normale"/>
    <w:autoRedefine/>
    <w:uiPriority w:val="98"/>
    <w:semiHidden/>
    <w:rsid w:val="0074380E"/>
    <w:pPr>
      <w:ind w:left="480" w:hanging="240"/>
    </w:pPr>
  </w:style>
  <w:style w:type="paragraph" w:styleId="Indice3">
    <w:name w:val="index 3"/>
    <w:basedOn w:val="Normale"/>
    <w:next w:val="Normale"/>
    <w:autoRedefine/>
    <w:uiPriority w:val="98"/>
    <w:semiHidden/>
    <w:rsid w:val="0074380E"/>
    <w:pPr>
      <w:ind w:left="720" w:hanging="240"/>
    </w:pPr>
  </w:style>
  <w:style w:type="paragraph" w:styleId="Indice4">
    <w:name w:val="index 4"/>
    <w:basedOn w:val="Normale"/>
    <w:next w:val="Normale"/>
    <w:autoRedefine/>
    <w:uiPriority w:val="98"/>
    <w:semiHidden/>
    <w:rsid w:val="0074380E"/>
    <w:pPr>
      <w:ind w:left="960" w:hanging="240"/>
    </w:pPr>
  </w:style>
  <w:style w:type="paragraph" w:styleId="Indice5">
    <w:name w:val="index 5"/>
    <w:basedOn w:val="Normale"/>
    <w:next w:val="Normale"/>
    <w:autoRedefine/>
    <w:uiPriority w:val="98"/>
    <w:semiHidden/>
    <w:rsid w:val="0074380E"/>
    <w:pPr>
      <w:ind w:left="1200" w:hanging="240"/>
    </w:pPr>
  </w:style>
  <w:style w:type="paragraph" w:styleId="Indice6">
    <w:name w:val="index 6"/>
    <w:basedOn w:val="Normale"/>
    <w:next w:val="Normale"/>
    <w:autoRedefine/>
    <w:uiPriority w:val="98"/>
    <w:semiHidden/>
    <w:rsid w:val="0074380E"/>
    <w:pPr>
      <w:ind w:left="1440" w:hanging="240"/>
    </w:pPr>
  </w:style>
  <w:style w:type="paragraph" w:styleId="Indice7">
    <w:name w:val="index 7"/>
    <w:basedOn w:val="Normale"/>
    <w:next w:val="Normale"/>
    <w:autoRedefine/>
    <w:uiPriority w:val="98"/>
    <w:semiHidden/>
    <w:rsid w:val="0074380E"/>
    <w:pPr>
      <w:ind w:left="1680" w:hanging="240"/>
    </w:pPr>
  </w:style>
  <w:style w:type="paragraph" w:styleId="Indice8">
    <w:name w:val="index 8"/>
    <w:basedOn w:val="Normale"/>
    <w:next w:val="Normale"/>
    <w:autoRedefine/>
    <w:uiPriority w:val="98"/>
    <w:semiHidden/>
    <w:rsid w:val="0074380E"/>
    <w:pPr>
      <w:ind w:left="1920" w:hanging="240"/>
    </w:pPr>
  </w:style>
  <w:style w:type="paragraph" w:styleId="Indice9">
    <w:name w:val="index 9"/>
    <w:basedOn w:val="Normale"/>
    <w:next w:val="Normale"/>
    <w:autoRedefine/>
    <w:uiPriority w:val="98"/>
    <w:semiHidden/>
    <w:rsid w:val="0074380E"/>
    <w:pPr>
      <w:ind w:left="2160" w:hanging="240"/>
    </w:pPr>
  </w:style>
  <w:style w:type="paragraph" w:styleId="Titoloindice">
    <w:name w:val="index heading"/>
    <w:basedOn w:val="Normale"/>
    <w:next w:val="Indice1"/>
    <w:uiPriority w:val="98"/>
    <w:semiHidden/>
    <w:rsid w:val="0074380E"/>
    <w:rPr>
      <w:rFonts w:asciiTheme="majorHAnsi" w:eastAsiaTheme="majorEastAsia" w:hAnsiTheme="majorHAnsi" w:cstheme="majorBidi"/>
      <w:b/>
      <w:bCs/>
    </w:rPr>
  </w:style>
  <w:style w:type="table" w:styleId="Grigliachiara">
    <w:name w:val="Light Grid"/>
    <w:basedOn w:val="Tabellanormale"/>
    <w:uiPriority w:val="62"/>
    <w:semiHidden/>
    <w:rsid w:val="0074380E"/>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74380E"/>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74380E"/>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74380E"/>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74380E"/>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74380E"/>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74380E"/>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74380E"/>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74380E"/>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74380E"/>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74380E"/>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74380E"/>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74380E"/>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74380E"/>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74380E"/>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74380E"/>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74380E"/>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74380E"/>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74380E"/>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74380E"/>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74380E"/>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74380E"/>
  </w:style>
  <w:style w:type="paragraph" w:styleId="Elenco">
    <w:name w:val="List"/>
    <w:basedOn w:val="Normale"/>
    <w:uiPriority w:val="98"/>
    <w:semiHidden/>
    <w:rsid w:val="0074380E"/>
    <w:pPr>
      <w:ind w:left="283" w:hanging="283"/>
      <w:contextualSpacing/>
    </w:pPr>
  </w:style>
  <w:style w:type="paragraph" w:styleId="Elenco2">
    <w:name w:val="List 2"/>
    <w:basedOn w:val="Normale"/>
    <w:uiPriority w:val="98"/>
    <w:semiHidden/>
    <w:rsid w:val="0074380E"/>
    <w:pPr>
      <w:ind w:left="566" w:hanging="283"/>
      <w:contextualSpacing/>
    </w:pPr>
  </w:style>
  <w:style w:type="paragraph" w:styleId="Elenco3">
    <w:name w:val="List 3"/>
    <w:basedOn w:val="Normale"/>
    <w:uiPriority w:val="98"/>
    <w:semiHidden/>
    <w:rsid w:val="0074380E"/>
    <w:pPr>
      <w:ind w:left="849" w:hanging="283"/>
      <w:contextualSpacing/>
    </w:pPr>
  </w:style>
  <w:style w:type="paragraph" w:styleId="Elenco4">
    <w:name w:val="List 4"/>
    <w:basedOn w:val="Normale"/>
    <w:uiPriority w:val="98"/>
    <w:semiHidden/>
    <w:rsid w:val="0074380E"/>
    <w:pPr>
      <w:ind w:left="1132" w:hanging="283"/>
      <w:contextualSpacing/>
    </w:pPr>
  </w:style>
  <w:style w:type="paragraph" w:styleId="Elenco5">
    <w:name w:val="List 5"/>
    <w:basedOn w:val="Normale"/>
    <w:uiPriority w:val="98"/>
    <w:semiHidden/>
    <w:rsid w:val="0074380E"/>
    <w:pPr>
      <w:ind w:left="1415" w:hanging="283"/>
      <w:contextualSpacing/>
    </w:pPr>
  </w:style>
  <w:style w:type="paragraph" w:styleId="Puntoelenco">
    <w:name w:val="List Bullet"/>
    <w:basedOn w:val="Normale"/>
    <w:uiPriority w:val="98"/>
    <w:semiHidden/>
    <w:rsid w:val="0074380E"/>
    <w:pPr>
      <w:numPr>
        <w:numId w:val="12"/>
      </w:numPr>
    </w:pPr>
  </w:style>
  <w:style w:type="paragraph" w:styleId="Puntoelenco3">
    <w:name w:val="List Bullet 3"/>
    <w:basedOn w:val="Normale"/>
    <w:uiPriority w:val="98"/>
    <w:semiHidden/>
    <w:rsid w:val="0074380E"/>
    <w:pPr>
      <w:numPr>
        <w:numId w:val="14"/>
      </w:numPr>
      <w:contextualSpacing/>
    </w:pPr>
  </w:style>
  <w:style w:type="paragraph" w:styleId="Puntoelenco4">
    <w:name w:val="List Bullet 4"/>
    <w:basedOn w:val="Normale"/>
    <w:uiPriority w:val="98"/>
    <w:semiHidden/>
    <w:rsid w:val="0074380E"/>
    <w:pPr>
      <w:numPr>
        <w:numId w:val="15"/>
      </w:numPr>
      <w:contextualSpacing/>
    </w:pPr>
  </w:style>
  <w:style w:type="paragraph" w:styleId="Puntoelenco5">
    <w:name w:val="List Bullet 5"/>
    <w:basedOn w:val="Normale"/>
    <w:uiPriority w:val="98"/>
    <w:semiHidden/>
    <w:rsid w:val="0074380E"/>
    <w:pPr>
      <w:numPr>
        <w:numId w:val="16"/>
      </w:numPr>
      <w:contextualSpacing/>
    </w:pPr>
  </w:style>
  <w:style w:type="paragraph" w:styleId="Elencocontinua">
    <w:name w:val="List Continue"/>
    <w:basedOn w:val="Normale"/>
    <w:uiPriority w:val="98"/>
    <w:semiHidden/>
    <w:rsid w:val="0074380E"/>
    <w:pPr>
      <w:spacing w:after="120"/>
      <w:ind w:left="283"/>
      <w:contextualSpacing/>
    </w:pPr>
  </w:style>
  <w:style w:type="paragraph" w:styleId="Elencocontinua2">
    <w:name w:val="List Continue 2"/>
    <w:basedOn w:val="Normale"/>
    <w:uiPriority w:val="98"/>
    <w:semiHidden/>
    <w:rsid w:val="0074380E"/>
    <w:pPr>
      <w:spacing w:after="120"/>
      <w:ind w:left="566"/>
      <w:contextualSpacing/>
    </w:pPr>
  </w:style>
  <w:style w:type="paragraph" w:styleId="Elencocontinua3">
    <w:name w:val="List Continue 3"/>
    <w:basedOn w:val="Normale"/>
    <w:uiPriority w:val="98"/>
    <w:semiHidden/>
    <w:rsid w:val="0074380E"/>
    <w:pPr>
      <w:spacing w:after="120"/>
      <w:ind w:left="849"/>
      <w:contextualSpacing/>
    </w:pPr>
  </w:style>
  <w:style w:type="paragraph" w:styleId="Elencocontinua4">
    <w:name w:val="List Continue 4"/>
    <w:basedOn w:val="Normale"/>
    <w:uiPriority w:val="98"/>
    <w:semiHidden/>
    <w:rsid w:val="0074380E"/>
    <w:pPr>
      <w:spacing w:after="120"/>
      <w:ind w:left="1132"/>
      <w:contextualSpacing/>
    </w:pPr>
  </w:style>
  <w:style w:type="paragraph" w:styleId="Elencocontinua5">
    <w:name w:val="List Continue 5"/>
    <w:basedOn w:val="Normale"/>
    <w:uiPriority w:val="98"/>
    <w:semiHidden/>
    <w:rsid w:val="0074380E"/>
    <w:pPr>
      <w:spacing w:after="120"/>
      <w:ind w:left="1415"/>
      <w:contextualSpacing/>
    </w:pPr>
  </w:style>
  <w:style w:type="paragraph" w:styleId="Numeroelenco">
    <w:name w:val="List Number"/>
    <w:basedOn w:val="Normale"/>
    <w:uiPriority w:val="98"/>
    <w:semiHidden/>
    <w:rsid w:val="0074380E"/>
    <w:pPr>
      <w:numPr>
        <w:numId w:val="17"/>
      </w:numPr>
      <w:contextualSpacing/>
    </w:pPr>
  </w:style>
  <w:style w:type="paragraph" w:styleId="Numeroelenco2">
    <w:name w:val="List Number 2"/>
    <w:basedOn w:val="Normale"/>
    <w:uiPriority w:val="98"/>
    <w:semiHidden/>
    <w:rsid w:val="0074380E"/>
    <w:pPr>
      <w:numPr>
        <w:numId w:val="18"/>
      </w:numPr>
      <w:contextualSpacing/>
    </w:pPr>
  </w:style>
  <w:style w:type="paragraph" w:styleId="Numeroelenco3">
    <w:name w:val="List Number 3"/>
    <w:basedOn w:val="Normale"/>
    <w:uiPriority w:val="98"/>
    <w:semiHidden/>
    <w:rsid w:val="0074380E"/>
    <w:pPr>
      <w:numPr>
        <w:numId w:val="19"/>
      </w:numPr>
      <w:contextualSpacing/>
    </w:pPr>
  </w:style>
  <w:style w:type="paragraph" w:styleId="Numeroelenco4">
    <w:name w:val="List Number 4"/>
    <w:basedOn w:val="Normale"/>
    <w:uiPriority w:val="98"/>
    <w:semiHidden/>
    <w:rsid w:val="0074380E"/>
    <w:pPr>
      <w:numPr>
        <w:numId w:val="20"/>
      </w:numPr>
      <w:contextualSpacing/>
    </w:pPr>
  </w:style>
  <w:style w:type="paragraph" w:styleId="Numeroelenco5">
    <w:name w:val="List Number 5"/>
    <w:basedOn w:val="Normale"/>
    <w:uiPriority w:val="98"/>
    <w:semiHidden/>
    <w:rsid w:val="0074380E"/>
    <w:pPr>
      <w:numPr>
        <w:numId w:val="21"/>
      </w:numPr>
      <w:contextualSpacing/>
    </w:pPr>
  </w:style>
  <w:style w:type="paragraph" w:styleId="Testomacro">
    <w:name w:val="macro"/>
    <w:link w:val="TestomacroCarattere"/>
    <w:uiPriority w:val="98"/>
    <w:semiHidden/>
    <w:rsid w:val="0074380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74380E"/>
    <w:rPr>
      <w:rFonts w:ascii="Consolas" w:eastAsiaTheme="minorEastAsia" w:hAnsi="Consolas" w:cs="Consolas"/>
      <w:sz w:val="20"/>
      <w:szCs w:val="20"/>
    </w:rPr>
  </w:style>
  <w:style w:type="table" w:styleId="Grigliamedia1">
    <w:name w:val="Medium Grid 1"/>
    <w:basedOn w:val="Tabellanormale"/>
    <w:uiPriority w:val="67"/>
    <w:semiHidden/>
    <w:rsid w:val="0074380E"/>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74380E"/>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74380E"/>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74380E"/>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74380E"/>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74380E"/>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74380E"/>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74380E"/>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74380E"/>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74380E"/>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74380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74380E"/>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74380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74380E"/>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74380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74380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74380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74380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74380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74380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74380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74380E"/>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74380E"/>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74380E"/>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74380E"/>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74380E"/>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74380E"/>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74380E"/>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74380E"/>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74380E"/>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74380E"/>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74380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74380E"/>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74380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74380E"/>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74380E"/>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74380E"/>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74380E"/>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74380E"/>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74380E"/>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74380E"/>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74380E"/>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74380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74380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74380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74380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74380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74380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74380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74380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74380E"/>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74380E"/>
    <w:rPr>
      <w:rFonts w:ascii="Times New Roman" w:hAnsi="Times New Roman" w:cs="Times New Roman"/>
    </w:rPr>
  </w:style>
  <w:style w:type="paragraph" w:styleId="Rientronormale">
    <w:name w:val="Normal Indent"/>
    <w:basedOn w:val="Normale"/>
    <w:uiPriority w:val="98"/>
    <w:semiHidden/>
    <w:rsid w:val="0074380E"/>
    <w:pPr>
      <w:ind w:left="720"/>
    </w:pPr>
  </w:style>
  <w:style w:type="paragraph" w:styleId="Intestazionenota">
    <w:name w:val="Note Heading"/>
    <w:basedOn w:val="Normale"/>
    <w:next w:val="Normale"/>
    <w:link w:val="IntestazionenotaCarattere"/>
    <w:uiPriority w:val="98"/>
    <w:semiHidden/>
    <w:rsid w:val="0074380E"/>
  </w:style>
  <w:style w:type="character" w:customStyle="1" w:styleId="IntestazionenotaCarattere">
    <w:name w:val="Intestazione nota Carattere"/>
    <w:basedOn w:val="Carpredefinitoparagrafo"/>
    <w:link w:val="Intestazionenota"/>
    <w:uiPriority w:val="98"/>
    <w:semiHidden/>
    <w:rsid w:val="0074380E"/>
    <w:rPr>
      <w:sz w:val="24"/>
      <w:szCs w:val="24"/>
      <w:lang w:val="fr-FR"/>
    </w:rPr>
  </w:style>
  <w:style w:type="character" w:styleId="Testosegnaposto">
    <w:name w:val="Placeholder Text"/>
    <w:basedOn w:val="Carpredefinitoparagrafo"/>
    <w:uiPriority w:val="98"/>
    <w:semiHidden/>
    <w:rsid w:val="0074380E"/>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74380E"/>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74380E"/>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74380E"/>
  </w:style>
  <w:style w:type="character" w:customStyle="1" w:styleId="FormuladiaperturaCarattere">
    <w:name w:val="Formula di apertura Carattere"/>
    <w:basedOn w:val="Carpredefinitoparagrafo"/>
    <w:link w:val="Formuladiapertura"/>
    <w:uiPriority w:val="98"/>
    <w:semiHidden/>
    <w:rsid w:val="0074380E"/>
    <w:rPr>
      <w:sz w:val="24"/>
      <w:szCs w:val="24"/>
      <w:lang w:val="fr-FR"/>
    </w:rPr>
  </w:style>
  <w:style w:type="paragraph" w:styleId="Firma">
    <w:name w:val="Signature"/>
    <w:basedOn w:val="Normale"/>
    <w:link w:val="FirmaCarattere"/>
    <w:uiPriority w:val="98"/>
    <w:semiHidden/>
    <w:rsid w:val="0074380E"/>
    <w:pPr>
      <w:ind w:left="4252"/>
    </w:pPr>
  </w:style>
  <w:style w:type="character" w:customStyle="1" w:styleId="FirmaCarattere">
    <w:name w:val="Firma Carattere"/>
    <w:basedOn w:val="Carpredefinitoparagrafo"/>
    <w:link w:val="Firma"/>
    <w:uiPriority w:val="98"/>
    <w:semiHidden/>
    <w:rsid w:val="0074380E"/>
    <w:rPr>
      <w:sz w:val="24"/>
      <w:szCs w:val="24"/>
      <w:lang w:val="fr-FR"/>
    </w:rPr>
  </w:style>
  <w:style w:type="table" w:styleId="Tabellaeffetti3D1">
    <w:name w:val="Table 3D effects 1"/>
    <w:basedOn w:val="Tabellanormale"/>
    <w:uiPriority w:val="99"/>
    <w:semiHidden/>
    <w:unhideWhenUsed/>
    <w:rsid w:val="0074380E"/>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74380E"/>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74380E"/>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74380E"/>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74380E"/>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74380E"/>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74380E"/>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74380E"/>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74380E"/>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74380E"/>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74380E"/>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74380E"/>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74380E"/>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74380E"/>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74380E"/>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74380E"/>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74380E"/>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74380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74380E"/>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74380E"/>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74380E"/>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74380E"/>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74380E"/>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74380E"/>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74380E"/>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74380E"/>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74380E"/>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74380E"/>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74380E"/>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74380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74380E"/>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74380E"/>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74380E"/>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74380E"/>
    <w:pPr>
      <w:ind w:left="240" w:hanging="240"/>
    </w:pPr>
  </w:style>
  <w:style w:type="paragraph" w:styleId="Indicedellefigure">
    <w:name w:val="table of figures"/>
    <w:basedOn w:val="Normale"/>
    <w:next w:val="Normale"/>
    <w:uiPriority w:val="98"/>
    <w:semiHidden/>
    <w:rsid w:val="0074380E"/>
  </w:style>
  <w:style w:type="table" w:styleId="Tabellaprofessionale">
    <w:name w:val="Table Professional"/>
    <w:basedOn w:val="Tabellanormale"/>
    <w:uiPriority w:val="99"/>
    <w:semiHidden/>
    <w:unhideWhenUsed/>
    <w:rsid w:val="0074380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74380E"/>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74380E"/>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74380E"/>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74380E"/>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74380E"/>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74380E"/>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74380E"/>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74380E"/>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74380E"/>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74380E"/>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74380E"/>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74380E"/>
    <w:pPr>
      <w:spacing w:after="100"/>
      <w:ind w:left="1680"/>
    </w:pPr>
  </w:style>
  <w:style w:type="paragraph" w:styleId="Sommario9">
    <w:name w:val="toc 9"/>
    <w:basedOn w:val="Normale"/>
    <w:next w:val="Normale"/>
    <w:autoRedefine/>
    <w:uiPriority w:val="98"/>
    <w:semiHidden/>
    <w:rsid w:val="0074380E"/>
    <w:pPr>
      <w:spacing w:after="100"/>
      <w:ind w:left="1920"/>
    </w:pPr>
  </w:style>
  <w:style w:type="paragraph" w:customStyle="1" w:styleId="ECHRFooter">
    <w:name w:val="ECHR_Footer"/>
    <w:aliases w:val="Footer_ECHR"/>
    <w:basedOn w:val="Pidipagina"/>
    <w:uiPriority w:val="57"/>
    <w:semiHidden/>
    <w:rsid w:val="00893F30"/>
    <w:rPr>
      <w:sz w:val="8"/>
    </w:rPr>
  </w:style>
  <w:style w:type="paragraph" w:customStyle="1" w:styleId="FooterLine">
    <w:name w:val="_Footer_Line"/>
    <w:aliases w:val="Footer_Line"/>
    <w:basedOn w:val="Normale"/>
    <w:next w:val="Footer"/>
    <w:uiPriority w:val="57"/>
    <w:semiHidden/>
    <w:rsid w:val="0074380E"/>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74380E"/>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74380E"/>
    <w:pPr>
      <w:keepNext/>
      <w:keepLines/>
      <w:spacing w:before="1320" w:after="280"/>
      <w:contextualSpacing/>
      <w:jc w:val="center"/>
    </w:pPr>
    <w:rPr>
      <w:b/>
    </w:rPr>
  </w:style>
  <w:style w:type="paragraph" w:customStyle="1" w:styleId="DummyStyle">
    <w:name w:val="Dummy_Style"/>
    <w:aliases w:val="_Dummy"/>
    <w:basedOn w:val="Normale"/>
    <w:semiHidden/>
    <w:qFormat/>
    <w:rsid w:val="0074380E"/>
    <w:rPr>
      <w:color w:val="00B050"/>
      <w:sz w:val="22"/>
    </w:rPr>
  </w:style>
  <w:style w:type="paragraph" w:customStyle="1" w:styleId="ECHRBullet1">
    <w:name w:val="ECHR_Bullet_1"/>
    <w:aliases w:val="_Bul_1"/>
    <w:basedOn w:val="NormalJustified"/>
    <w:uiPriority w:val="23"/>
    <w:semiHidden/>
    <w:qFormat/>
    <w:rsid w:val="0074380E"/>
    <w:pPr>
      <w:numPr>
        <w:numId w:val="9"/>
      </w:numPr>
      <w:spacing w:before="60" w:after="60"/>
    </w:pPr>
  </w:style>
  <w:style w:type="paragraph" w:customStyle="1" w:styleId="ECHRBullet2">
    <w:name w:val="ECHR_Bullet_2"/>
    <w:aliases w:val="_Bul_2"/>
    <w:basedOn w:val="ECHRBullet1"/>
    <w:uiPriority w:val="23"/>
    <w:semiHidden/>
    <w:rsid w:val="0074380E"/>
    <w:pPr>
      <w:numPr>
        <w:ilvl w:val="1"/>
      </w:numPr>
    </w:pPr>
  </w:style>
  <w:style w:type="paragraph" w:customStyle="1" w:styleId="ECHRBullet3">
    <w:name w:val="ECHR_Bullet_3"/>
    <w:aliases w:val="_Bul_3"/>
    <w:basedOn w:val="ECHRBullet2"/>
    <w:uiPriority w:val="23"/>
    <w:semiHidden/>
    <w:rsid w:val="0074380E"/>
    <w:pPr>
      <w:numPr>
        <w:ilvl w:val="2"/>
      </w:numPr>
    </w:pPr>
  </w:style>
  <w:style w:type="paragraph" w:customStyle="1" w:styleId="ECHRBullet4">
    <w:name w:val="ECHR_Bullet_4"/>
    <w:aliases w:val="_Bul_4"/>
    <w:basedOn w:val="ECHRBullet3"/>
    <w:uiPriority w:val="23"/>
    <w:semiHidden/>
    <w:rsid w:val="0074380E"/>
    <w:pPr>
      <w:numPr>
        <w:ilvl w:val="3"/>
      </w:numPr>
    </w:pPr>
  </w:style>
  <w:style w:type="paragraph" w:customStyle="1" w:styleId="ECHRConfidential">
    <w:name w:val="ECHR_Confidential"/>
    <w:aliases w:val="_Confidential"/>
    <w:basedOn w:val="Normale"/>
    <w:next w:val="Normale"/>
    <w:uiPriority w:val="42"/>
    <w:semiHidden/>
    <w:qFormat/>
    <w:rsid w:val="0074380E"/>
    <w:pPr>
      <w:jc w:val="right"/>
    </w:pPr>
    <w:rPr>
      <w:color w:val="C00000"/>
      <w:sz w:val="20"/>
    </w:rPr>
  </w:style>
  <w:style w:type="paragraph" w:customStyle="1" w:styleId="ECHRDecisionBody">
    <w:name w:val="ECHR_Decision_Body"/>
    <w:aliases w:val="_Decision_Body"/>
    <w:basedOn w:val="NormalJustified"/>
    <w:uiPriority w:val="54"/>
    <w:rsid w:val="0074380E"/>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74380E"/>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74380E"/>
    <w:rPr>
      <w:rFonts w:ascii="Arial" w:hAnsi="Arial"/>
      <w:i/>
      <w:color w:val="002856"/>
      <w:sz w:val="32"/>
      <w:szCs w:val="24"/>
      <w:lang w:val="fr-FR"/>
    </w:rPr>
  </w:style>
  <w:style w:type="paragraph" w:customStyle="1" w:styleId="ECHRFooterLineLandscape">
    <w:name w:val="ECHR_Footer_Line_Landscape"/>
    <w:aliases w:val="_Footer_Line_Landscape"/>
    <w:basedOn w:val="Normale"/>
    <w:uiPriority w:val="30"/>
    <w:semiHidden/>
    <w:rsid w:val="0074380E"/>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74380E"/>
    <w:pPr>
      <w:jc w:val="right"/>
    </w:pPr>
    <w:rPr>
      <w:sz w:val="20"/>
    </w:rPr>
  </w:style>
  <w:style w:type="paragraph" w:customStyle="1" w:styleId="ECHRHeaderRefIt">
    <w:name w:val="ECHR_Header_Ref_It"/>
    <w:aliases w:val="_Ref_Ital"/>
    <w:basedOn w:val="Normale"/>
    <w:next w:val="ECHRHeaderDate"/>
    <w:uiPriority w:val="43"/>
    <w:qFormat/>
    <w:rsid w:val="0074380E"/>
    <w:pPr>
      <w:jc w:val="right"/>
    </w:pPr>
    <w:rPr>
      <w:i/>
      <w:sz w:val="20"/>
    </w:rPr>
  </w:style>
  <w:style w:type="paragraph" w:customStyle="1" w:styleId="ECHRHeading9">
    <w:name w:val="ECHR_Heading_9"/>
    <w:aliases w:val="_Head_9"/>
    <w:basedOn w:val="Titolo9"/>
    <w:uiPriority w:val="17"/>
    <w:semiHidden/>
    <w:rsid w:val="0074380E"/>
    <w:pPr>
      <w:keepNext/>
      <w:keepLines/>
      <w:numPr>
        <w:ilvl w:val="8"/>
        <w:numId w:val="5"/>
      </w:numPr>
      <w:spacing w:before="100" w:beforeAutospacing="1"/>
      <w:contextualSpacing/>
    </w:pPr>
    <w:rPr>
      <w:i w:val="0"/>
      <w:sz w:val="18"/>
    </w:rPr>
  </w:style>
  <w:style w:type="paragraph" w:customStyle="1" w:styleId="ECHRLine">
    <w:name w:val="ECHR_Line"/>
    <w:aliases w:val="_Line"/>
    <w:basedOn w:val="NormalJustified"/>
    <w:next w:val="Normale"/>
    <w:uiPriority w:val="46"/>
    <w:semiHidden/>
    <w:rsid w:val="0074380E"/>
    <w:pPr>
      <w:pBdr>
        <w:bottom w:val="single" w:sz="12" w:space="1" w:color="949494" w:themeColor="text2" w:themeShade="BF"/>
      </w:pBdr>
      <w:spacing w:after="120"/>
    </w:pPr>
    <w:rPr>
      <w:sz w:val="12"/>
    </w:rPr>
  </w:style>
  <w:style w:type="paragraph" w:customStyle="1" w:styleId="ECHRNumberedList1">
    <w:name w:val="ECHR_Numbered_List_1"/>
    <w:aliases w:val="_Num_1"/>
    <w:basedOn w:val="Normale"/>
    <w:uiPriority w:val="23"/>
    <w:semiHidden/>
    <w:qFormat/>
    <w:rsid w:val="0074380E"/>
    <w:pPr>
      <w:numPr>
        <w:numId w:val="11"/>
      </w:numPr>
      <w:spacing w:before="60" w:after="60"/>
    </w:pPr>
  </w:style>
  <w:style w:type="paragraph" w:customStyle="1" w:styleId="ECHRNumberedList2">
    <w:name w:val="ECHR_Numbered_List_2"/>
    <w:aliases w:val="_Num_2"/>
    <w:basedOn w:val="ECHRNumberedList1"/>
    <w:uiPriority w:val="23"/>
    <w:semiHidden/>
    <w:rsid w:val="0074380E"/>
    <w:pPr>
      <w:numPr>
        <w:ilvl w:val="1"/>
      </w:numPr>
    </w:pPr>
  </w:style>
  <w:style w:type="paragraph" w:customStyle="1" w:styleId="ECHRNumberedList3">
    <w:name w:val="ECHR_Numbered_List_3"/>
    <w:aliases w:val="_Num_3"/>
    <w:basedOn w:val="ECHRNumberedList2"/>
    <w:uiPriority w:val="23"/>
    <w:semiHidden/>
    <w:rsid w:val="0074380E"/>
    <w:pPr>
      <w:numPr>
        <w:ilvl w:val="2"/>
      </w:numPr>
    </w:pPr>
  </w:style>
  <w:style w:type="paragraph" w:customStyle="1" w:styleId="ECHRParaHanging">
    <w:name w:val="ECHR_Para_Hanging"/>
    <w:aliases w:val="_Hanging"/>
    <w:basedOn w:val="Normale"/>
    <w:uiPriority w:val="8"/>
    <w:semiHidden/>
    <w:qFormat/>
    <w:rsid w:val="0074380E"/>
    <w:pPr>
      <w:ind w:left="567" w:hanging="567"/>
      <w:jc w:val="both"/>
    </w:pPr>
  </w:style>
  <w:style w:type="paragraph" w:customStyle="1" w:styleId="ECHRParaIndent">
    <w:name w:val="ECHR_Para_Indent"/>
    <w:aliases w:val="_Indent"/>
    <w:basedOn w:val="Normale"/>
    <w:uiPriority w:val="7"/>
    <w:semiHidden/>
    <w:qFormat/>
    <w:rsid w:val="0074380E"/>
    <w:pPr>
      <w:spacing w:before="120" w:after="120"/>
      <w:ind w:left="567"/>
      <w:jc w:val="both"/>
    </w:pPr>
  </w:style>
  <w:style w:type="character" w:customStyle="1" w:styleId="ECHRRed">
    <w:name w:val="ECHR_Red"/>
    <w:aliases w:val="_Red"/>
    <w:basedOn w:val="Carpredefinitoparagrafo"/>
    <w:uiPriority w:val="15"/>
    <w:semiHidden/>
    <w:qFormat/>
    <w:rsid w:val="0074380E"/>
    <w:rPr>
      <w:color w:val="C00000" w:themeColor="accent2"/>
    </w:rPr>
  </w:style>
  <w:style w:type="paragraph" w:customStyle="1" w:styleId="ECHRSpacer">
    <w:name w:val="ECHR_Spacer"/>
    <w:aliases w:val="_Spacer"/>
    <w:basedOn w:val="Normale"/>
    <w:uiPriority w:val="45"/>
    <w:semiHidden/>
    <w:rsid w:val="0074380E"/>
    <w:rPr>
      <w:sz w:val="4"/>
    </w:rPr>
  </w:style>
  <w:style w:type="table" w:customStyle="1" w:styleId="ECHRTable2">
    <w:name w:val="ECHR_Table_2"/>
    <w:basedOn w:val="Tabellanormale"/>
    <w:uiPriority w:val="99"/>
    <w:rsid w:val="0074380E"/>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74380E"/>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74380E"/>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74380E"/>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74380E"/>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74380E"/>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74380E"/>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qFormat/>
    <w:rsid w:val="0074380E"/>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74380E"/>
    <w:pPr>
      <w:outlineLvl w:val="0"/>
    </w:pPr>
  </w:style>
  <w:style w:type="paragraph" w:customStyle="1" w:styleId="ECHRTitleTOC1">
    <w:name w:val="ECHR_Title_TOC_1"/>
    <w:aliases w:val="_Title_L_TOC"/>
    <w:basedOn w:val="ECHRTitle1"/>
    <w:next w:val="Normale"/>
    <w:uiPriority w:val="27"/>
    <w:semiHidden/>
    <w:qFormat/>
    <w:rsid w:val="0074380E"/>
    <w:pPr>
      <w:outlineLvl w:val="0"/>
    </w:pPr>
  </w:style>
  <w:style w:type="character" w:customStyle="1" w:styleId="JuParaChar">
    <w:name w:val="Ju_Para Char"/>
    <w:aliases w:val="_Para Char"/>
    <w:link w:val="JuPara"/>
    <w:uiPriority w:val="4"/>
    <w:rsid w:val="00025024"/>
    <w:rPr>
      <w:sz w:val="24"/>
      <w:szCs w:val="24"/>
      <w:lang w:val="fr-FR"/>
    </w:rPr>
  </w:style>
  <w:style w:type="character" w:customStyle="1" w:styleId="JuNames0">
    <w:name w:val="Ju_Names"/>
    <w:rsid w:val="00025024"/>
    <w:rPr>
      <w:smallCaps/>
    </w:rPr>
  </w:style>
  <w:style w:type="paragraph" w:customStyle="1" w:styleId="JuList4">
    <w:name w:val="Ju_List_4"/>
    <w:aliases w:val="N_Bul_4"/>
    <w:basedOn w:val="JuListi"/>
    <w:uiPriority w:val="19"/>
    <w:rsid w:val="00025024"/>
    <w:pPr>
      <w:numPr>
        <w:ilvl w:val="0"/>
        <w:numId w:val="0"/>
      </w:numPr>
      <w:tabs>
        <w:tab w:val="num" w:pos="1701"/>
        <w:tab w:val="num" w:pos="1758"/>
      </w:tabs>
      <w:spacing w:before="60" w:after="60" w:line="240" w:lineRule="exact"/>
      <w:ind w:left="1703" w:hanging="284"/>
      <w:contextualSpacing/>
    </w:pPr>
    <w:rPr>
      <w:sz w:val="22"/>
      <w:lang w:eastAsia="fr-FR"/>
    </w:rPr>
  </w:style>
  <w:style w:type="table" w:customStyle="1" w:styleId="GridTable1Light1">
    <w:name w:val="Grid Table 1 Light1"/>
    <w:basedOn w:val="Tabellanormale"/>
    <w:uiPriority w:val="46"/>
    <w:semiHidden/>
    <w:rsid w:val="007438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ellanormale"/>
    <w:uiPriority w:val="46"/>
    <w:semiHidden/>
    <w:rsid w:val="0074380E"/>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ellanormale"/>
    <w:uiPriority w:val="46"/>
    <w:semiHidden/>
    <w:rsid w:val="0074380E"/>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ellanormale"/>
    <w:uiPriority w:val="46"/>
    <w:semiHidden/>
    <w:rsid w:val="0074380E"/>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ellanormale"/>
    <w:uiPriority w:val="46"/>
    <w:semiHidden/>
    <w:rsid w:val="0074380E"/>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ellanormale"/>
    <w:uiPriority w:val="46"/>
    <w:semiHidden/>
    <w:rsid w:val="0074380E"/>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ellanormale"/>
    <w:uiPriority w:val="46"/>
    <w:semiHidden/>
    <w:rsid w:val="0074380E"/>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customStyle="1" w:styleId="GridTable21">
    <w:name w:val="Grid Table 21"/>
    <w:basedOn w:val="Tabellanormale"/>
    <w:uiPriority w:val="47"/>
    <w:semiHidden/>
    <w:rsid w:val="0074380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ellanormale"/>
    <w:uiPriority w:val="47"/>
    <w:semiHidden/>
    <w:rsid w:val="0074380E"/>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2-Accent21">
    <w:name w:val="Grid Table 2 - Accent 21"/>
    <w:basedOn w:val="Tabellanormale"/>
    <w:uiPriority w:val="47"/>
    <w:semiHidden/>
    <w:rsid w:val="0074380E"/>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2-Accent31">
    <w:name w:val="Grid Table 2 - Accent 31"/>
    <w:basedOn w:val="Tabellanormale"/>
    <w:uiPriority w:val="47"/>
    <w:semiHidden/>
    <w:rsid w:val="0074380E"/>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2-Accent41">
    <w:name w:val="Grid Table 2 - Accent 41"/>
    <w:basedOn w:val="Tabellanormale"/>
    <w:uiPriority w:val="47"/>
    <w:semiHidden/>
    <w:rsid w:val="0074380E"/>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2-Accent51">
    <w:name w:val="Grid Table 2 - Accent 51"/>
    <w:basedOn w:val="Tabellanormale"/>
    <w:uiPriority w:val="47"/>
    <w:semiHidden/>
    <w:rsid w:val="0074380E"/>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2-Accent61">
    <w:name w:val="Grid Table 2 - Accent 61"/>
    <w:basedOn w:val="Tabellanormale"/>
    <w:uiPriority w:val="47"/>
    <w:semiHidden/>
    <w:rsid w:val="0074380E"/>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31">
    <w:name w:val="Grid Table 31"/>
    <w:basedOn w:val="Tabellanormale"/>
    <w:uiPriority w:val="48"/>
    <w:semiHidden/>
    <w:rsid w:val="0074380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ellanormale"/>
    <w:uiPriority w:val="48"/>
    <w:semiHidden/>
    <w:rsid w:val="0074380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customStyle="1" w:styleId="GridTable3-Accent21">
    <w:name w:val="Grid Table 3 - Accent 21"/>
    <w:basedOn w:val="Tabellanormale"/>
    <w:uiPriority w:val="48"/>
    <w:semiHidden/>
    <w:rsid w:val="0074380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customStyle="1" w:styleId="GridTable3-Accent31">
    <w:name w:val="Grid Table 3 - Accent 31"/>
    <w:basedOn w:val="Tabellanormale"/>
    <w:uiPriority w:val="48"/>
    <w:semiHidden/>
    <w:rsid w:val="0074380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customStyle="1" w:styleId="GridTable3-Accent41">
    <w:name w:val="Grid Table 3 - Accent 41"/>
    <w:basedOn w:val="Tabellanormale"/>
    <w:uiPriority w:val="48"/>
    <w:semiHidden/>
    <w:rsid w:val="0074380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customStyle="1" w:styleId="GridTable3-Accent51">
    <w:name w:val="Grid Table 3 - Accent 51"/>
    <w:basedOn w:val="Tabellanormale"/>
    <w:uiPriority w:val="48"/>
    <w:semiHidden/>
    <w:rsid w:val="0074380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3-Accent61">
    <w:name w:val="Grid Table 3 - Accent 61"/>
    <w:basedOn w:val="Tabellanormale"/>
    <w:uiPriority w:val="48"/>
    <w:semiHidden/>
    <w:rsid w:val="0074380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customStyle="1" w:styleId="GridTable41">
    <w:name w:val="Grid Table 41"/>
    <w:basedOn w:val="Tabellanormale"/>
    <w:uiPriority w:val="49"/>
    <w:semiHidden/>
    <w:rsid w:val="0074380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ellanormale"/>
    <w:uiPriority w:val="49"/>
    <w:semiHidden/>
    <w:rsid w:val="0074380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4-Accent21">
    <w:name w:val="Grid Table 4 - Accent 21"/>
    <w:basedOn w:val="Tabellanormale"/>
    <w:uiPriority w:val="49"/>
    <w:semiHidden/>
    <w:rsid w:val="0074380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4-Accent31">
    <w:name w:val="Grid Table 4 - Accent 31"/>
    <w:basedOn w:val="Tabellanormale"/>
    <w:uiPriority w:val="49"/>
    <w:semiHidden/>
    <w:rsid w:val="0074380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4-Accent41">
    <w:name w:val="Grid Table 4 - Accent 41"/>
    <w:basedOn w:val="Tabellanormale"/>
    <w:uiPriority w:val="49"/>
    <w:semiHidden/>
    <w:rsid w:val="0074380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4-Accent51">
    <w:name w:val="Grid Table 4 - Accent 51"/>
    <w:basedOn w:val="Tabellanormale"/>
    <w:uiPriority w:val="49"/>
    <w:semiHidden/>
    <w:rsid w:val="0074380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4-Accent61">
    <w:name w:val="Grid Table 4 - Accent 61"/>
    <w:basedOn w:val="Tabellanormale"/>
    <w:uiPriority w:val="49"/>
    <w:semiHidden/>
    <w:rsid w:val="0074380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5Dark1">
    <w:name w:val="Grid Table 5 Dark1"/>
    <w:basedOn w:val="Tabellanormale"/>
    <w:uiPriority w:val="50"/>
    <w:semiHidden/>
    <w:rsid w:val="0074380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ellanormale"/>
    <w:uiPriority w:val="50"/>
    <w:semiHidden/>
    <w:rsid w:val="0074380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customStyle="1" w:styleId="GridTable5Dark-Accent21">
    <w:name w:val="Grid Table 5 Dark - Accent 21"/>
    <w:basedOn w:val="Tabellanormale"/>
    <w:uiPriority w:val="50"/>
    <w:semiHidden/>
    <w:rsid w:val="0074380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customStyle="1" w:styleId="GridTable5Dark-Accent31">
    <w:name w:val="Grid Table 5 Dark - Accent 31"/>
    <w:basedOn w:val="Tabellanormale"/>
    <w:uiPriority w:val="50"/>
    <w:semiHidden/>
    <w:rsid w:val="0074380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customStyle="1" w:styleId="GridTable5Dark-Accent41">
    <w:name w:val="Grid Table 5 Dark - Accent 41"/>
    <w:basedOn w:val="Tabellanormale"/>
    <w:uiPriority w:val="50"/>
    <w:semiHidden/>
    <w:rsid w:val="0074380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customStyle="1" w:styleId="GridTable5Dark-Accent51">
    <w:name w:val="Grid Table 5 Dark - Accent 51"/>
    <w:basedOn w:val="Tabellanormale"/>
    <w:uiPriority w:val="50"/>
    <w:semiHidden/>
    <w:rsid w:val="0074380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customStyle="1" w:styleId="GridTable5Dark-Accent61">
    <w:name w:val="Grid Table 5 Dark - Accent 61"/>
    <w:basedOn w:val="Tabellanormale"/>
    <w:uiPriority w:val="50"/>
    <w:semiHidden/>
    <w:rsid w:val="0074380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customStyle="1" w:styleId="GridTable6Colorful1">
    <w:name w:val="Grid Table 6 Colorful1"/>
    <w:basedOn w:val="Tabellanormale"/>
    <w:uiPriority w:val="51"/>
    <w:semiHidden/>
    <w:rsid w:val="0074380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ellanormale"/>
    <w:uiPriority w:val="51"/>
    <w:semiHidden/>
    <w:rsid w:val="0074380E"/>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6Colorful-Accent21">
    <w:name w:val="Grid Table 6 Colorful - Accent 21"/>
    <w:basedOn w:val="Tabellanormale"/>
    <w:uiPriority w:val="51"/>
    <w:semiHidden/>
    <w:rsid w:val="0074380E"/>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6Colorful-Accent31">
    <w:name w:val="Grid Table 6 Colorful - Accent 31"/>
    <w:basedOn w:val="Tabellanormale"/>
    <w:uiPriority w:val="51"/>
    <w:semiHidden/>
    <w:rsid w:val="0074380E"/>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6Colorful-Accent41">
    <w:name w:val="Grid Table 6 Colorful - Accent 41"/>
    <w:basedOn w:val="Tabellanormale"/>
    <w:uiPriority w:val="51"/>
    <w:semiHidden/>
    <w:rsid w:val="0074380E"/>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6Colorful-Accent51">
    <w:name w:val="Grid Table 6 Colorful - Accent 51"/>
    <w:basedOn w:val="Tabellanormale"/>
    <w:uiPriority w:val="51"/>
    <w:semiHidden/>
    <w:rsid w:val="0074380E"/>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6Colorful-Accent61">
    <w:name w:val="Grid Table 6 Colorful - Accent 61"/>
    <w:basedOn w:val="Tabellanormale"/>
    <w:uiPriority w:val="51"/>
    <w:semiHidden/>
    <w:rsid w:val="0074380E"/>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7Colorful1">
    <w:name w:val="Grid Table 7 Colorful1"/>
    <w:basedOn w:val="Tabellanormale"/>
    <w:uiPriority w:val="52"/>
    <w:semiHidden/>
    <w:rsid w:val="0074380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ellanormale"/>
    <w:uiPriority w:val="52"/>
    <w:semiHidden/>
    <w:rsid w:val="0074380E"/>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customStyle="1" w:styleId="GridTable7Colorful-Accent21">
    <w:name w:val="Grid Table 7 Colorful - Accent 21"/>
    <w:basedOn w:val="Tabellanormale"/>
    <w:uiPriority w:val="52"/>
    <w:semiHidden/>
    <w:rsid w:val="0074380E"/>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customStyle="1" w:styleId="GridTable7Colorful-Accent31">
    <w:name w:val="Grid Table 7 Colorful - Accent 31"/>
    <w:basedOn w:val="Tabellanormale"/>
    <w:uiPriority w:val="52"/>
    <w:semiHidden/>
    <w:rsid w:val="0074380E"/>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customStyle="1" w:styleId="GridTable7Colorful-Accent41">
    <w:name w:val="Grid Table 7 Colorful - Accent 41"/>
    <w:basedOn w:val="Tabellanormale"/>
    <w:uiPriority w:val="52"/>
    <w:semiHidden/>
    <w:rsid w:val="0074380E"/>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customStyle="1" w:styleId="GridTable7Colorful-Accent51">
    <w:name w:val="Grid Table 7 Colorful - Accent 51"/>
    <w:basedOn w:val="Tabellanormale"/>
    <w:uiPriority w:val="52"/>
    <w:semiHidden/>
    <w:rsid w:val="0074380E"/>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7Colorful-Accent61">
    <w:name w:val="Grid Table 7 Colorful - Accent 61"/>
    <w:basedOn w:val="Tabellanormale"/>
    <w:uiPriority w:val="52"/>
    <w:semiHidden/>
    <w:rsid w:val="0074380E"/>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74380E"/>
    <w:rPr>
      <w:color w:val="2B579A"/>
      <w:shd w:val="clear" w:color="auto" w:fill="E1DFDD"/>
    </w:rPr>
  </w:style>
  <w:style w:type="table" w:customStyle="1" w:styleId="ListTable1Light1">
    <w:name w:val="List Table 1 Light1"/>
    <w:basedOn w:val="Tabellanormale"/>
    <w:uiPriority w:val="46"/>
    <w:semiHidden/>
    <w:rsid w:val="0074380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ellanormale"/>
    <w:uiPriority w:val="46"/>
    <w:semiHidden/>
    <w:rsid w:val="0074380E"/>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1Light-Accent21">
    <w:name w:val="List Table 1 Light - Accent 21"/>
    <w:basedOn w:val="Tabellanormale"/>
    <w:uiPriority w:val="46"/>
    <w:semiHidden/>
    <w:rsid w:val="0074380E"/>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1Light-Accent31">
    <w:name w:val="List Table 1 Light - Accent 31"/>
    <w:basedOn w:val="Tabellanormale"/>
    <w:uiPriority w:val="46"/>
    <w:semiHidden/>
    <w:rsid w:val="0074380E"/>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1Light-Accent41">
    <w:name w:val="List Table 1 Light - Accent 41"/>
    <w:basedOn w:val="Tabellanormale"/>
    <w:uiPriority w:val="46"/>
    <w:semiHidden/>
    <w:rsid w:val="0074380E"/>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1Light-Accent51">
    <w:name w:val="List Table 1 Light - Accent 51"/>
    <w:basedOn w:val="Tabellanormale"/>
    <w:uiPriority w:val="46"/>
    <w:semiHidden/>
    <w:rsid w:val="0074380E"/>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1Light-Accent61">
    <w:name w:val="List Table 1 Light - Accent 61"/>
    <w:basedOn w:val="Tabellanormale"/>
    <w:uiPriority w:val="46"/>
    <w:semiHidden/>
    <w:rsid w:val="0074380E"/>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21">
    <w:name w:val="List Table 21"/>
    <w:basedOn w:val="Tabellanormale"/>
    <w:uiPriority w:val="47"/>
    <w:semiHidden/>
    <w:rsid w:val="0074380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ellanormale"/>
    <w:uiPriority w:val="47"/>
    <w:semiHidden/>
    <w:rsid w:val="0074380E"/>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2-Accent21">
    <w:name w:val="List Table 2 - Accent 21"/>
    <w:basedOn w:val="Tabellanormale"/>
    <w:uiPriority w:val="47"/>
    <w:semiHidden/>
    <w:rsid w:val="0074380E"/>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2-Accent31">
    <w:name w:val="List Table 2 - Accent 31"/>
    <w:basedOn w:val="Tabellanormale"/>
    <w:uiPriority w:val="47"/>
    <w:semiHidden/>
    <w:rsid w:val="0074380E"/>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2-Accent41">
    <w:name w:val="List Table 2 - Accent 41"/>
    <w:basedOn w:val="Tabellanormale"/>
    <w:uiPriority w:val="47"/>
    <w:semiHidden/>
    <w:rsid w:val="0074380E"/>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2-Accent51">
    <w:name w:val="List Table 2 - Accent 51"/>
    <w:basedOn w:val="Tabellanormale"/>
    <w:uiPriority w:val="47"/>
    <w:semiHidden/>
    <w:rsid w:val="0074380E"/>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2-Accent61">
    <w:name w:val="List Table 2 - Accent 61"/>
    <w:basedOn w:val="Tabellanormale"/>
    <w:uiPriority w:val="47"/>
    <w:semiHidden/>
    <w:rsid w:val="0074380E"/>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31">
    <w:name w:val="List Table 31"/>
    <w:basedOn w:val="Tabellanormale"/>
    <w:uiPriority w:val="48"/>
    <w:semiHidden/>
    <w:rsid w:val="0074380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ellanormale"/>
    <w:uiPriority w:val="48"/>
    <w:semiHidden/>
    <w:rsid w:val="0074380E"/>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customStyle="1" w:styleId="ListTable3-Accent21">
    <w:name w:val="List Table 3 - Accent 21"/>
    <w:basedOn w:val="Tabellanormale"/>
    <w:uiPriority w:val="48"/>
    <w:semiHidden/>
    <w:rsid w:val="0074380E"/>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customStyle="1" w:styleId="ListTable3-Accent31">
    <w:name w:val="List Table 3 - Accent 31"/>
    <w:basedOn w:val="Tabellanormale"/>
    <w:uiPriority w:val="48"/>
    <w:semiHidden/>
    <w:rsid w:val="0074380E"/>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customStyle="1" w:styleId="ListTable3-Accent41">
    <w:name w:val="List Table 3 - Accent 41"/>
    <w:basedOn w:val="Tabellanormale"/>
    <w:uiPriority w:val="48"/>
    <w:semiHidden/>
    <w:rsid w:val="0074380E"/>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customStyle="1" w:styleId="ListTable3-Accent51">
    <w:name w:val="List Table 3 - Accent 51"/>
    <w:basedOn w:val="Tabellanormale"/>
    <w:uiPriority w:val="48"/>
    <w:semiHidden/>
    <w:rsid w:val="0074380E"/>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customStyle="1" w:styleId="ListTable3-Accent61">
    <w:name w:val="List Table 3 - Accent 61"/>
    <w:basedOn w:val="Tabellanormale"/>
    <w:uiPriority w:val="48"/>
    <w:semiHidden/>
    <w:rsid w:val="0074380E"/>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customStyle="1" w:styleId="ListTable41">
    <w:name w:val="List Table 41"/>
    <w:basedOn w:val="Tabellanormale"/>
    <w:uiPriority w:val="49"/>
    <w:semiHidden/>
    <w:rsid w:val="0074380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ellanormale"/>
    <w:uiPriority w:val="49"/>
    <w:semiHidden/>
    <w:rsid w:val="0074380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4-Accent21">
    <w:name w:val="List Table 4 - Accent 21"/>
    <w:basedOn w:val="Tabellanormale"/>
    <w:uiPriority w:val="49"/>
    <w:semiHidden/>
    <w:rsid w:val="0074380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4-Accent31">
    <w:name w:val="List Table 4 - Accent 31"/>
    <w:basedOn w:val="Tabellanormale"/>
    <w:uiPriority w:val="49"/>
    <w:semiHidden/>
    <w:rsid w:val="0074380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4-Accent41">
    <w:name w:val="List Table 4 - Accent 41"/>
    <w:basedOn w:val="Tabellanormale"/>
    <w:uiPriority w:val="49"/>
    <w:semiHidden/>
    <w:rsid w:val="0074380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4-Accent51">
    <w:name w:val="List Table 4 - Accent 51"/>
    <w:basedOn w:val="Tabellanormale"/>
    <w:uiPriority w:val="49"/>
    <w:semiHidden/>
    <w:rsid w:val="0074380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4-Accent61">
    <w:name w:val="List Table 4 - Accent 61"/>
    <w:basedOn w:val="Tabellanormale"/>
    <w:uiPriority w:val="49"/>
    <w:semiHidden/>
    <w:rsid w:val="0074380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5Dark1">
    <w:name w:val="List Table 5 Dark1"/>
    <w:basedOn w:val="Tabellanormale"/>
    <w:uiPriority w:val="50"/>
    <w:semiHidden/>
    <w:rsid w:val="0074380E"/>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ellanormale"/>
    <w:uiPriority w:val="50"/>
    <w:semiHidden/>
    <w:rsid w:val="0074380E"/>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ellanormale"/>
    <w:uiPriority w:val="50"/>
    <w:semiHidden/>
    <w:rsid w:val="0074380E"/>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ellanormale"/>
    <w:uiPriority w:val="50"/>
    <w:semiHidden/>
    <w:rsid w:val="0074380E"/>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ellanormale"/>
    <w:uiPriority w:val="50"/>
    <w:semiHidden/>
    <w:rsid w:val="0074380E"/>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ellanormale"/>
    <w:uiPriority w:val="50"/>
    <w:semiHidden/>
    <w:rsid w:val="0074380E"/>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ellanormale"/>
    <w:uiPriority w:val="50"/>
    <w:semiHidden/>
    <w:rsid w:val="0074380E"/>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ellanormale"/>
    <w:uiPriority w:val="51"/>
    <w:semiHidden/>
    <w:rsid w:val="0074380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ellanormale"/>
    <w:uiPriority w:val="51"/>
    <w:semiHidden/>
    <w:rsid w:val="0074380E"/>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6Colorful-Accent21">
    <w:name w:val="List Table 6 Colorful - Accent 21"/>
    <w:basedOn w:val="Tabellanormale"/>
    <w:uiPriority w:val="51"/>
    <w:semiHidden/>
    <w:rsid w:val="0074380E"/>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6Colorful-Accent31">
    <w:name w:val="List Table 6 Colorful - Accent 31"/>
    <w:basedOn w:val="Tabellanormale"/>
    <w:uiPriority w:val="51"/>
    <w:semiHidden/>
    <w:rsid w:val="0074380E"/>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6Colorful-Accent41">
    <w:name w:val="List Table 6 Colorful - Accent 41"/>
    <w:basedOn w:val="Tabellanormale"/>
    <w:uiPriority w:val="51"/>
    <w:semiHidden/>
    <w:rsid w:val="0074380E"/>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6Colorful-Accent51">
    <w:name w:val="List Table 6 Colorful - Accent 51"/>
    <w:basedOn w:val="Tabellanormale"/>
    <w:uiPriority w:val="51"/>
    <w:semiHidden/>
    <w:rsid w:val="0074380E"/>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6Colorful-Accent61">
    <w:name w:val="List Table 6 Colorful - Accent 61"/>
    <w:basedOn w:val="Tabellanormale"/>
    <w:uiPriority w:val="51"/>
    <w:semiHidden/>
    <w:rsid w:val="0074380E"/>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7Colorful1">
    <w:name w:val="List Table 7 Colorful1"/>
    <w:basedOn w:val="Tabellanormale"/>
    <w:uiPriority w:val="52"/>
    <w:semiHidden/>
    <w:rsid w:val="0074380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ellanormale"/>
    <w:uiPriority w:val="52"/>
    <w:semiHidden/>
    <w:rsid w:val="0074380E"/>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ellanormale"/>
    <w:uiPriority w:val="52"/>
    <w:semiHidden/>
    <w:rsid w:val="0074380E"/>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ellanormale"/>
    <w:uiPriority w:val="52"/>
    <w:semiHidden/>
    <w:rsid w:val="0074380E"/>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ellanormale"/>
    <w:uiPriority w:val="52"/>
    <w:semiHidden/>
    <w:rsid w:val="0074380E"/>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ellanormale"/>
    <w:uiPriority w:val="52"/>
    <w:semiHidden/>
    <w:rsid w:val="0074380E"/>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ellanormale"/>
    <w:uiPriority w:val="52"/>
    <w:semiHidden/>
    <w:rsid w:val="0074380E"/>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74380E"/>
    <w:rPr>
      <w:color w:val="2B579A"/>
      <w:shd w:val="clear" w:color="auto" w:fill="E1DFDD"/>
    </w:rPr>
  </w:style>
  <w:style w:type="table" w:customStyle="1" w:styleId="PlainTable11">
    <w:name w:val="Plain Table 11"/>
    <w:basedOn w:val="Tabellanormale"/>
    <w:uiPriority w:val="41"/>
    <w:semiHidden/>
    <w:rsid w:val="0074380E"/>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customStyle="1" w:styleId="PlainTable21">
    <w:name w:val="Plain Table 21"/>
    <w:basedOn w:val="Tabellanormale"/>
    <w:uiPriority w:val="42"/>
    <w:semiHidden/>
    <w:rsid w:val="0074380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ellanormale"/>
    <w:uiPriority w:val="43"/>
    <w:semiHidden/>
    <w:rsid w:val="0074380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ellanormale"/>
    <w:uiPriority w:val="44"/>
    <w:semiHidden/>
    <w:rsid w:val="0074380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customStyle="1" w:styleId="PlainTable51">
    <w:name w:val="Plain Table 51"/>
    <w:basedOn w:val="Tabellanormale"/>
    <w:uiPriority w:val="45"/>
    <w:semiHidden/>
    <w:rsid w:val="0074380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74380E"/>
    <w:rPr>
      <w:u w:val="dotted"/>
    </w:rPr>
  </w:style>
  <w:style w:type="character" w:customStyle="1" w:styleId="SmartLink">
    <w:name w:val="Smart Link"/>
    <w:basedOn w:val="Carpredefinitoparagrafo"/>
    <w:uiPriority w:val="99"/>
    <w:semiHidden/>
    <w:unhideWhenUsed/>
    <w:rsid w:val="0074380E"/>
    <w:rPr>
      <w:color w:val="0000FF"/>
      <w:u w:val="single"/>
      <w:shd w:val="clear" w:color="auto" w:fill="F3F2F1"/>
    </w:rPr>
  </w:style>
  <w:style w:type="table" w:customStyle="1" w:styleId="TableGridLight1">
    <w:name w:val="Table Grid Light1"/>
    <w:basedOn w:val="Tabellanormale"/>
    <w:uiPriority w:val="40"/>
    <w:semiHidden/>
    <w:rsid w:val="0074380E"/>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743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hudoc.echr.coe.int/eng" TargetMode="External"/><Relationship Id="rId26" Type="http://schemas.openxmlformats.org/officeDocument/2006/relationships/hyperlink" Target="https://hudoc.echr.coe.int/eng" TargetMode="External"/><Relationship Id="rId3" Type="http://schemas.openxmlformats.org/officeDocument/2006/relationships/customXml" Target="../customXml/item3.xml"/><Relationship Id="rId21" Type="http://schemas.openxmlformats.org/officeDocument/2006/relationships/hyperlink" Target="http://hudoc.echr.coe.int/eng"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hudoc.echr.coe.int/eng" TargetMode="External"/><Relationship Id="rId25" Type="http://schemas.openxmlformats.org/officeDocument/2006/relationships/hyperlink" Target="https://hudoc.echr.coe.int/en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udoc.echr.coe.int/eng" TargetMode="External"/><Relationship Id="rId20" Type="http://schemas.openxmlformats.org/officeDocument/2006/relationships/hyperlink" Target="http://hudoc.echr.coe.int/eng" TargetMode="External"/><Relationship Id="rId29" Type="http://schemas.openxmlformats.org/officeDocument/2006/relationships/hyperlink" Target="https://hudoc.echr.coe.int/e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hudoc.echr.coe.int/eng"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hudoc.echr.coe.int/eng" TargetMode="External"/><Relationship Id="rId28" Type="http://schemas.openxmlformats.org/officeDocument/2006/relationships/hyperlink" Target="https://hudoc.echr.coe.int/eng" TargetMode="External"/><Relationship Id="rId10" Type="http://schemas.openxmlformats.org/officeDocument/2006/relationships/endnotes" Target="endnotes.xml"/><Relationship Id="rId19" Type="http://schemas.openxmlformats.org/officeDocument/2006/relationships/hyperlink" Target="http://hudoc.echr.coe.int/eng"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hudoc.echr.coe.int/eng" TargetMode="External"/><Relationship Id="rId27" Type="http://schemas.openxmlformats.org/officeDocument/2006/relationships/hyperlink" Target="https://hudoc.echr.coe.int/eng" TargetMode="External"/><Relationship Id="rId30" Type="http://schemas.openxmlformats.org/officeDocument/2006/relationships/header" Target="header3.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9F4ED-2AAC-498B-8070-870255767B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880FCA-0DD4-476B-B998-2350F5A53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8161AED-6505-48DC-A174-792DB81D92AC}">
  <ds:schemaRefs>
    <ds:schemaRef ds:uri="http://schemas.microsoft.com/sharepoint/v3/contenttype/forms"/>
  </ds:schemaRefs>
</ds:datastoreItem>
</file>

<file path=customXml/itemProps4.xml><?xml version="1.0" encoding="utf-8"?>
<ds:datastoreItem xmlns:ds="http://schemas.openxmlformats.org/officeDocument/2006/customXml" ds:itemID="{671141EC-4036-4EBF-8DCE-D02B32018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5990</Words>
  <Characters>34146</Characters>
  <Application>Microsoft Office Word</Application>
  <DocSecurity>0</DocSecurity>
  <Lines>284</Lines>
  <Paragraphs>80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40056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keywords/>
  <cp:lastModifiedBy/>
  <cp:revision>1</cp:revision>
  <dcterms:created xsi:type="dcterms:W3CDTF">2021-03-04T09:22:00Z</dcterms:created>
  <dcterms:modified xsi:type="dcterms:W3CDTF">2021-03-04T09:22:00Z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36936/18</vt:lpwstr>
  </property>
  <property fmtid="{D5CDD505-2E9C-101B-9397-08002B2CF9AE}" pid="4" name="CASEID">
    <vt:lpwstr>1394972</vt:lpwstr>
  </property>
  <property fmtid="{D5CDD505-2E9C-101B-9397-08002B2CF9AE}" pid="5" name="ContentTypeId">
    <vt:lpwstr>0x010100558EB02BDB9E204AB350EDD385B68E10</vt:lpwstr>
  </property>
</Properties>
</file>